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微软雅黑" w:eastAsia="方正小标宋简体"/>
          <w:bCs/>
          <w:color w:val="auto"/>
          <w:sz w:val="32"/>
          <w:szCs w:val="32"/>
        </w:rPr>
      </w:pPr>
      <w:r>
        <w:rPr>
          <w:rFonts w:hint="eastAsia" w:ascii="方正小标宋简体" w:hAnsi="微软雅黑" w:eastAsia="方正小标宋简体"/>
          <w:bCs/>
          <w:color w:val="auto"/>
          <w:sz w:val="32"/>
          <w:szCs w:val="32"/>
        </w:rPr>
        <w:t>UPS电池替换和主机维保技术要求</w:t>
      </w:r>
    </w:p>
    <w:p>
      <w:pPr>
        <w:widowControl w:val="0"/>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一、简介</w:t>
      </w:r>
    </w:p>
    <w:p>
      <w:pPr>
        <w:widowControl w:val="0"/>
        <w:adjustRightInd w:val="0"/>
        <w:snapToGrid w:val="0"/>
        <w:spacing w:line="320" w:lineRule="exact"/>
        <w:ind w:firstLine="420" w:firstLineChars="200"/>
        <w:rPr>
          <w:rFonts w:ascii="仿宋_GB2312" w:eastAsia="仿宋_GB2312"/>
          <w:color w:val="auto"/>
        </w:rPr>
      </w:pPr>
      <w:r>
        <w:rPr>
          <w:rFonts w:hint="eastAsia" w:ascii="仿宋_GB2312" w:eastAsia="仿宋_GB2312"/>
          <w:color w:val="auto"/>
        </w:rPr>
        <w:t>医院数据中心机房和异地机房共配置4套UPS电源系统。自2021年启用至今已运行满4年，核心部件（蓄电池）已达设计使用年限，经检测大部分蓄电池已出现不同程度亏电现象，如继续使用将出现以下两种风险隐患：一是无法满足8小时续航设计；二是蓄电池鼓包、漏液导致自燃。计划采购100Ah蓄电池及电池柜用于替换数据中心UPS蓄电池，满足在断电情况下，数据中心机房各服</w:t>
      </w:r>
      <w:bookmarkStart w:id="1" w:name="_GoBack"/>
      <w:bookmarkEnd w:id="1"/>
      <w:r>
        <w:rPr>
          <w:rFonts w:hint="eastAsia" w:ascii="仿宋_GB2312" w:eastAsia="仿宋_GB2312"/>
          <w:color w:val="auto"/>
        </w:rPr>
        <w:t>务器、存储、核心交换机等设备稳定运行8小时以上。</w:t>
      </w:r>
    </w:p>
    <w:p>
      <w:pPr>
        <w:widowControl w:val="0"/>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二、商务要求</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1</w:t>
      </w:r>
      <w:r>
        <w:rPr>
          <w:rFonts w:hint="eastAsia" w:ascii="仿宋_GB2312" w:eastAsia="仿宋_GB2312" w:hAnsiTheme="minorHAnsi" w:cstheme="minorBidi"/>
          <w:color w:val="auto"/>
        </w:rPr>
        <w:t>.验收后提供</w:t>
      </w:r>
      <w:r>
        <w:rPr>
          <w:rFonts w:hint="eastAsia" w:ascii="仿宋_GB2312" w:eastAsia="仿宋_GB2312" w:hAnsiTheme="minorHAnsi" w:cstheme="minorBidi"/>
          <w:color w:val="auto"/>
        </w:rPr>
        <w:t>≥3年</w:t>
      </w:r>
      <w:r>
        <w:rPr>
          <w:rFonts w:hint="eastAsia" w:ascii="仿宋_GB2312" w:eastAsia="仿宋_GB2312" w:hAnsiTheme="minorHAnsi" w:cstheme="minorBidi"/>
          <w:color w:val="auto"/>
        </w:rPr>
        <w:t>免费质保。</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2</w:t>
      </w:r>
      <w:r>
        <w:rPr>
          <w:rFonts w:hint="eastAsia" w:ascii="仿宋_GB2312" w:eastAsia="仿宋_GB2312" w:hAnsiTheme="minorHAnsi" w:cstheme="minorBidi"/>
          <w:color w:val="auto"/>
        </w:rPr>
        <w:t>.质保期后每年维保价格≤中标价*10%。</w:t>
      </w:r>
    </w:p>
    <w:p>
      <w:pPr>
        <w:adjustRightInd w:val="0"/>
        <w:snapToGrid w:val="0"/>
        <w:spacing w:line="320" w:lineRule="exact"/>
        <w:ind w:firstLine="420" w:firstLineChars="200"/>
        <w:jc w:val="left"/>
        <w:rPr>
          <w:rFonts w:ascii="仿宋_GB2312" w:eastAsia="仿宋_GB2312" w:hAnsiTheme="minorHAnsi" w:cstheme="minorBidi"/>
          <w:color w:val="auto"/>
        </w:rPr>
      </w:pPr>
      <w:r>
        <w:rPr>
          <w:rFonts w:ascii="仿宋_GB2312" w:eastAsia="仿宋_GB2312" w:hAnsiTheme="minorHAnsi" w:cstheme="minorBidi"/>
          <w:color w:val="auto"/>
        </w:rPr>
        <w:t>3.</w:t>
      </w:r>
      <w:r>
        <w:rPr>
          <w:rFonts w:hint="eastAsia" w:ascii="仿宋_GB2312" w:eastAsia="仿宋_GB2312" w:hAnsiTheme="minorHAnsi" w:cstheme="minorBidi"/>
          <w:color w:val="auto"/>
        </w:rPr>
        <w:t>质保期内提供7*24小时技术支持；收到通知后2小时内响应要求，12小时内派人到达现场，免费负责修理或更换有缺陷的零部件或整机。若24小时内设备仍无法工作，提供同档次备用机供采购方使用。如未在约定期限内派人维修的，采购方有权请第三方代为维修，其中发生的一切费用由成交人承担。</w:t>
      </w:r>
    </w:p>
    <w:p>
      <w:pPr>
        <w:adjustRightInd w:val="0"/>
        <w:snapToGrid w:val="0"/>
        <w:spacing w:line="320" w:lineRule="exact"/>
        <w:ind w:firstLine="420" w:firstLineChars="200"/>
        <w:jc w:val="left"/>
        <w:rPr>
          <w:rFonts w:ascii="仿宋_GB2312" w:eastAsia="仿宋_GB2312" w:hAnsiTheme="minorHAnsi" w:cstheme="minorBidi"/>
          <w:color w:val="auto"/>
        </w:rPr>
      </w:pPr>
      <w:r>
        <w:rPr>
          <w:rFonts w:hint="eastAsia" w:ascii="仿宋_GB2312" w:eastAsia="仿宋_GB2312" w:hAnsiTheme="minorHAnsi" w:cstheme="minorBidi"/>
          <w:color w:val="auto"/>
        </w:rPr>
        <w:t>4.为保障维保质量，投标人需获得UPS厂家维护授权，维保人员应是UPS厂家工程师或者UPS厂家认证工程师，提供相关证明文件。</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5.质保期内每年提供不少于</w:t>
      </w:r>
      <w:r>
        <w:rPr>
          <w:rFonts w:ascii="仿宋_GB2312" w:eastAsia="仿宋_GB2312" w:hAnsiTheme="minorHAnsi" w:cstheme="minorBidi"/>
          <w:color w:val="auto"/>
        </w:rPr>
        <w:t>4次定期巡检与调优系统，提供巡检报告，及时排除故障隐患，调优系统性能，使系统始终处于高效率运行状态。</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6.投标单位应通过ISO9001质量管理体系认证、ISO14001环境管理体系认证、ISO45001职业健康安全管理体系认证，认证覆盖范围为数据机房设备的销售及技术服务，提供有效期内的认证证书。</w:t>
      </w:r>
    </w:p>
    <w:p>
      <w:pPr>
        <w:widowControl w:val="0"/>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三、技术要求</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（一）UPS电池</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1.</w:t>
      </w:r>
      <w:r>
        <w:rPr>
          <w:rFonts w:hint="eastAsia" w:ascii="仿宋_GB2312" w:eastAsia="仿宋_GB2312" w:hAnsiTheme="minorHAnsi" w:cstheme="minorBidi"/>
          <w:color w:val="auto"/>
        </w:rPr>
        <w:t>电池数量：</w:t>
      </w:r>
      <w:r>
        <w:rPr>
          <w:rFonts w:hint="eastAsia" w:ascii="仿宋_GB2312" w:hAnsi="Calibri" w:eastAsia="仿宋_GB2312"/>
          <w:color w:val="auto"/>
        </w:rPr>
        <w:t>≥172个</w:t>
      </w:r>
      <w:r>
        <w:rPr>
          <w:rFonts w:hint="eastAsia"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2.蓄电池容量</w:t>
      </w:r>
      <w:r>
        <w:rPr>
          <w:rFonts w:hint="eastAsia" w:ascii="仿宋_GB2312" w:hAnsi="Calibri" w:eastAsia="仿宋_GB2312"/>
          <w:color w:val="auto"/>
        </w:rPr>
        <w:t>≥</w:t>
      </w:r>
      <w:r>
        <w:rPr>
          <w:rFonts w:hint="eastAsia" w:ascii="仿宋_GB2312" w:eastAsia="仿宋_GB2312" w:hAnsiTheme="minorHAnsi" w:cstheme="minorBidi"/>
          <w:color w:val="auto"/>
        </w:rPr>
        <w:t>100AH 12V，免维护铅酸蓄电池。</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3.安全阀：具有自动减压调节阀，保证运行安全可靠。</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4.最大充电电流：</w:t>
      </w:r>
      <w:r>
        <w:rPr>
          <w:rFonts w:hint="eastAsia" w:ascii="仿宋_GB2312" w:hAnsi="Calibri" w:eastAsia="仿宋_GB2312"/>
          <w:color w:val="auto"/>
        </w:rPr>
        <w:t>≥</w:t>
      </w:r>
      <w:r>
        <w:rPr>
          <w:rFonts w:hint="eastAsia" w:ascii="仿宋_GB2312" w:eastAsia="仿宋_GB2312" w:hAnsiTheme="minorHAnsi" w:cstheme="minorBidi"/>
          <w:color w:val="auto"/>
        </w:rPr>
        <w:t>0.3C。</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5.均充电压：2.35～2.4V/单体。</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6.浮充电压：2.23～2.27/单体。</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7.容量保存率：</w:t>
      </w:r>
      <w:r>
        <w:rPr>
          <w:rFonts w:hint="eastAsia" w:ascii="仿宋_GB2312" w:eastAsia="仿宋_GB2312" w:hAnsiTheme="minorHAnsi" w:cstheme="minorBidi"/>
          <w:color w:val="auto"/>
        </w:rPr>
        <w:t>静置28天容量≥97%（提供检测证明）</w:t>
      </w:r>
      <w:r>
        <w:rPr>
          <w:rFonts w:hint="eastAsia"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8.密封反应效率：≥97%。</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9.防酸雾性能：对完全充电后的电池以0.2C电流连续充电4小时，PH值呈中性。</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10.耐过充电能力：对全充电后的电池以0.3C电流连续充电160小时，无变形、无漏液。</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11.封口剂性能：环境温度-30～+65℃之间，封口剂无裂纹和溢流现象。</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12.气密性：能承受50kPa的正压或负压而不破裂、不开胶，压力释放后壳体无残余变形。</w:t>
      </w:r>
    </w:p>
    <w:p>
      <w:pPr>
        <w:widowControl w:val="0"/>
        <w:adjustRightInd w:val="0"/>
        <w:snapToGrid w:val="0"/>
        <w:spacing w:line="320" w:lineRule="exact"/>
        <w:ind w:firstLine="420" w:firstLineChars="200"/>
        <w:rPr>
          <w:rFonts w:hint="eastAsia" w:ascii="仿宋_GB2312" w:eastAsia="仿宋_GB2312" w:hAnsiTheme="minorHAnsi" w:cstheme="minorBidi"/>
          <w:color w:val="auto"/>
        </w:rPr>
      </w:pPr>
      <w:r>
        <w:rPr>
          <w:rFonts w:hint="eastAsia" w:ascii="仿宋_GB2312" w:eastAsia="仿宋_GB2312" w:hAnsiTheme="minorHAnsi" w:cstheme="minorBidi"/>
          <w:color w:val="auto"/>
        </w:rPr>
        <w:t>13.同系列蓄电池10h率容量试验时，最大实际容量与最小实际容量差值≤1.5%；电池低温敏感性，10h率容量≥0.96C10。</w:t>
      </w:r>
    </w:p>
    <w:p>
      <w:pPr>
        <w:widowControl w:val="0"/>
        <w:adjustRightInd w:val="0"/>
        <w:snapToGrid w:val="0"/>
        <w:spacing w:line="320" w:lineRule="exact"/>
        <w:ind w:firstLine="420" w:firstLineChars="200"/>
        <w:rPr>
          <w:rFonts w:hint="eastAsia" w:ascii="仿宋_GB2312" w:eastAsia="仿宋_GB2312" w:hAnsiTheme="minorHAnsi" w:cstheme="minorBidi"/>
          <w:color w:val="auto"/>
          <w:lang w:val="en-US" w:eastAsia="zh-CN"/>
        </w:rPr>
      </w:pPr>
      <w:r>
        <w:rPr>
          <w:rFonts w:hint="eastAsia" w:ascii="仿宋_GB2312" w:eastAsia="仿宋_GB2312" w:hAnsiTheme="minorHAnsi" w:cstheme="minorBidi"/>
          <w:color w:val="auto"/>
          <w:lang w:val="en-US" w:eastAsia="zh-CN"/>
        </w:rPr>
        <w:t>14.蓄电池产品通过泰尔认证中心颁发的认证证书。</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（二）电池架要求</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根据现场环境设计可以放置108节或以上电池的电池架，并提供放置平面图及电池架设计图，按图施工。</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（三）UPS电池及主机维保要求</w:t>
      </w:r>
    </w:p>
    <w:p>
      <w:pPr>
        <w:kinsoku w:val="0"/>
        <w:autoSpaceDE w:val="0"/>
        <w:autoSpaceDN w:val="0"/>
        <w:adjustRightInd w:val="0"/>
        <w:snapToGrid w:val="0"/>
        <w:spacing w:line="320" w:lineRule="exact"/>
        <w:ind w:firstLine="420" w:firstLineChars="200"/>
        <w:jc w:val="left"/>
        <w:rPr>
          <w:rFonts w:ascii="仿宋_GB2312" w:hAnsi="Calibri" w:eastAsia="仿宋_GB2312"/>
          <w:color w:val="auto"/>
        </w:rPr>
      </w:pPr>
      <w:r>
        <w:rPr>
          <w:rFonts w:hint="eastAsia" w:ascii="仿宋_GB2312" w:hAnsi="Calibri" w:eastAsia="仿宋_GB2312"/>
          <w:color w:val="auto"/>
        </w:rPr>
        <w:t>1</w:t>
      </w:r>
      <w:r>
        <w:rPr>
          <w:rFonts w:ascii="仿宋_GB2312" w:hAnsi="Calibri" w:eastAsia="仿宋_GB2312"/>
          <w:color w:val="auto"/>
        </w:rPr>
        <w:t>.</w:t>
      </w:r>
      <w:r>
        <w:rPr>
          <w:rFonts w:hint="eastAsia" w:ascii="仿宋_GB2312" w:hAnsi="Calibri" w:eastAsia="仿宋_GB2312"/>
          <w:color w:val="auto"/>
        </w:rPr>
        <w:t>UPS主机维保数量4台，其中3台为爱维达HP4000G(E-2011-C0120B019-1339、E-2011-C0120B019-1338、E-2011-C0120B019-1337)，1台为科士达YDC3340（110018907A44897300013）。</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2.维护检测的基本要求</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（1）按照现行的设备使用维护相关标准进行正确的维护；</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（2）根据原厂的技术标准进行维护保养；</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（3）遵循“查隐患、保安全”的原则对设备认真检测；</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（4）严格按照作业计划执行日常维护作业项目和性能分析；</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（5）使用规程制式符合检测要求的工具、仪表；</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（6）当设备发生故障或误报警时维保服务人员在第一时间赶到现场进行并处理故障；</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（7）对故障设备的调整、修复及损坏零配件更换等；</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（8）提供详细的检测报表。</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3.维护保养范围</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（1）物理性检查</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①UPS内部、蓄电池表面清洁，检查UPS系统运行环境；</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②检查UPS、蓄电池、断路器等所有电气的连接、绝缘情况及相应处理；</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③检查UPS内部元器件（继电器、断路器、风扇、电容等）和蓄电池极柱、连接条等有否氧化或腐蚀等现象及相应处理或更换；</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④检查UPS、蓄电池所有连接处有无松动、绝缘情况及相应处理；</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⑤检查蓄电池极柱有否爬酸、漏液，安全阀周围是否有酸液逸出，检查蓄电池壳体有无损伤、渗漏和变形，极柱有无损伤、变形及相应处理或建议更换；</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⑥检查UPS、蓄电池所有元器件及连接处温升有无异常及相应处理或更换；</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⑦UPS 接地保护有效性检查。</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（2）电气参数设置的检查、测试、核对、调整</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①检测UPS各运行参数（输入、输出、旁路的电压、电流、频率、功率负载、电池参数等）、报警记录、显示功能和三相负载均分调整；记录所有显示数据和环境参数，包括：进线负载电流、接地电流、配电盘承载电流、支路的电压和电流。</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②对UPS的工作记录和报警记录进行检查，根据记录情况进行预防性维护。进行UPS市电逆变/静态旁路转换、手动旁路（按要求）、市电逆变/电池供电转换功能测试；</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（3）蓄电池维护</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①在每次巡检对电池进行放电，在放电前对电池内阻及浮充电压进行测试。</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②存在两组及两组以上电池组，放电需测量每组电池组电流是否均衡，如果不均衡差别太大，需分析具体原因并予以处理。</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③对在测量过程中发现损坏的电池需做好标识，及时跟分管领导及现场管理人员汇报，并立即安排更换电池或电池组，避免后期因市电停电引起后端负载停电故障。</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④对损坏的电池及已到使用年限的电池组，督促进行更换，并将更换意见反映给相关责任人。</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⑤每节电池应粘贴电池内阻记录标签并在每次保养后做好记录。</w:t>
      </w:r>
    </w:p>
    <w:p>
      <w:pPr>
        <w:adjustRightInd w:val="0"/>
        <w:snapToGrid w:val="0"/>
        <w:spacing w:line="320" w:lineRule="exact"/>
        <w:ind w:firstLine="420" w:firstLineChars="200"/>
        <w:rPr>
          <w:rFonts w:ascii="仿宋_GB2312" w:hAnsi="Calibri" w:eastAsia="仿宋_GB2312"/>
          <w:color w:val="auto"/>
        </w:rPr>
      </w:pPr>
      <w:bookmarkStart w:id="0" w:name="_Toc445736814"/>
      <w:r>
        <w:rPr>
          <w:rFonts w:hint="eastAsia" w:ascii="仿宋_GB2312" w:hAnsi="Calibri" w:eastAsia="仿宋_GB2312"/>
          <w:color w:val="auto"/>
        </w:rPr>
        <w:t>（4）技术档案、培训、服务等要求</w:t>
      </w:r>
      <w:bookmarkEnd w:id="0"/>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①应为设备建立维修维护技术档案。每次维修维护工作结束时，维护人工程师要详细填写维护维修报告并填写意见和签字确认。</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②维护人提供维修维护报告应包括如下内容：维修服务内容、维护服务内容、工作性质计服务时间统计、故障处理及备件更换情况、设备状况分析及评价、对设备运行计使用的建议。</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③有义务对用户有关人员进行现场培训(对操作系统的应用和UPS工作原理的讲解以及基本故障的处理)。</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④应具备UPS及开关电源维护的专业仪表仪器，如内阻仪（电导仪）、蓄电池放电容量测试仪、万用表、钳流表等。</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（四）UPS告警云服务要求</w:t>
      </w:r>
    </w:p>
    <w:p>
      <w:pPr>
        <w:adjustRightInd w:val="0"/>
        <w:snapToGrid w:val="0"/>
        <w:spacing w:line="320" w:lineRule="exact"/>
        <w:ind w:firstLine="420" w:firstLineChars="200"/>
        <w:rPr>
          <w:rFonts w:ascii="仿宋_GB2312" w:hAnsi="Calibri" w:eastAsia="仿宋_GB2312"/>
          <w:color w:val="auto"/>
        </w:rPr>
      </w:pPr>
      <w:r>
        <w:rPr>
          <w:rFonts w:ascii="仿宋_GB2312" w:hAnsi="Calibri" w:eastAsia="仿宋_GB2312"/>
          <w:color w:val="auto"/>
        </w:rPr>
        <w:t>提供UPS告警云服务需</w:t>
      </w:r>
      <w:r>
        <w:rPr>
          <w:rFonts w:hint="eastAsia" w:ascii="仿宋_GB2312" w:hAnsi="Calibri" w:eastAsia="仿宋_GB2312"/>
          <w:color w:val="auto"/>
        </w:rPr>
        <w:t>与</w:t>
      </w:r>
      <w:r>
        <w:rPr>
          <w:rFonts w:ascii="仿宋_GB2312" w:hAnsi="Calibri" w:eastAsia="仿宋_GB2312"/>
          <w:color w:val="auto"/>
        </w:rPr>
        <w:t>现有的告警云服务软件相匹配并</w:t>
      </w:r>
      <w:r>
        <w:rPr>
          <w:rFonts w:hint="eastAsia" w:ascii="仿宋_GB2312" w:hAnsi="Calibri" w:eastAsia="仿宋_GB2312"/>
          <w:color w:val="auto"/>
        </w:rPr>
        <w:t>支持与医院</w:t>
      </w:r>
      <w:r>
        <w:rPr>
          <w:rFonts w:ascii="仿宋_GB2312" w:hAnsi="Calibri" w:eastAsia="仿宋_GB2312"/>
          <w:color w:val="auto"/>
        </w:rPr>
        <w:t>其他UPS统一监控管理</w:t>
      </w:r>
      <w:r>
        <w:rPr>
          <w:rFonts w:hint="eastAsia" w:ascii="仿宋_GB2312" w:hAnsi="Calibri" w:eastAsia="仿宋_GB2312"/>
          <w:color w:val="auto"/>
        </w:rPr>
        <w:t>。</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Arial Unicode MS"/>
    <w:panose1 w:val="00000000000000000000"/>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2440682"/>
    </w:sdtPr>
    <w:sdtContent>
      <w:sdt>
        <w:sdtPr>
          <w:id w:val="860082579"/>
        </w:sdtPr>
        <w:sdtContent>
          <w:p>
            <w:pPr>
              <w:pStyle w:val="6"/>
              <w:jc w:val="right"/>
            </w:pP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UxZWJmZDhjMmE0OTBkNDJiNDEyOGI1OWE4MzBiMGUifQ=="/>
  </w:docVars>
  <w:rsids>
    <w:rsidRoot w:val="008041DA"/>
    <w:rsid w:val="00010D54"/>
    <w:rsid w:val="000126B3"/>
    <w:rsid w:val="00020412"/>
    <w:rsid w:val="0002193A"/>
    <w:rsid w:val="0002297A"/>
    <w:rsid w:val="0002672A"/>
    <w:rsid w:val="0005254F"/>
    <w:rsid w:val="000551EF"/>
    <w:rsid w:val="00056728"/>
    <w:rsid w:val="00072AEE"/>
    <w:rsid w:val="000A3C45"/>
    <w:rsid w:val="000C0D6F"/>
    <w:rsid w:val="000C1DB7"/>
    <w:rsid w:val="000F098F"/>
    <w:rsid w:val="00116B50"/>
    <w:rsid w:val="0013737D"/>
    <w:rsid w:val="00141C71"/>
    <w:rsid w:val="00150772"/>
    <w:rsid w:val="001B2BAB"/>
    <w:rsid w:val="001B492F"/>
    <w:rsid w:val="001E07D9"/>
    <w:rsid w:val="00212E9A"/>
    <w:rsid w:val="0021379A"/>
    <w:rsid w:val="0023190A"/>
    <w:rsid w:val="0023328E"/>
    <w:rsid w:val="0024042B"/>
    <w:rsid w:val="00246EEF"/>
    <w:rsid w:val="00255540"/>
    <w:rsid w:val="00260AD9"/>
    <w:rsid w:val="00273C3F"/>
    <w:rsid w:val="00280162"/>
    <w:rsid w:val="00283B16"/>
    <w:rsid w:val="002846BB"/>
    <w:rsid w:val="002944A0"/>
    <w:rsid w:val="002B6F83"/>
    <w:rsid w:val="002D475C"/>
    <w:rsid w:val="002E32BF"/>
    <w:rsid w:val="002F5E8C"/>
    <w:rsid w:val="0030154E"/>
    <w:rsid w:val="00304298"/>
    <w:rsid w:val="00305F50"/>
    <w:rsid w:val="003078EB"/>
    <w:rsid w:val="00323BD4"/>
    <w:rsid w:val="00350CB5"/>
    <w:rsid w:val="00352531"/>
    <w:rsid w:val="003732B5"/>
    <w:rsid w:val="003914DF"/>
    <w:rsid w:val="003949DC"/>
    <w:rsid w:val="003B1477"/>
    <w:rsid w:val="003C7536"/>
    <w:rsid w:val="003E13DE"/>
    <w:rsid w:val="003F1DE9"/>
    <w:rsid w:val="003F45CA"/>
    <w:rsid w:val="00416D1D"/>
    <w:rsid w:val="00422B69"/>
    <w:rsid w:val="004355AB"/>
    <w:rsid w:val="004416F3"/>
    <w:rsid w:val="00446417"/>
    <w:rsid w:val="00460CD8"/>
    <w:rsid w:val="00463DC1"/>
    <w:rsid w:val="004900FE"/>
    <w:rsid w:val="00496204"/>
    <w:rsid w:val="004A2DC8"/>
    <w:rsid w:val="004A6210"/>
    <w:rsid w:val="004F1E6F"/>
    <w:rsid w:val="00514072"/>
    <w:rsid w:val="00540B68"/>
    <w:rsid w:val="00595567"/>
    <w:rsid w:val="0059584A"/>
    <w:rsid w:val="005A3DE5"/>
    <w:rsid w:val="005B45C9"/>
    <w:rsid w:val="005C4416"/>
    <w:rsid w:val="005E23E2"/>
    <w:rsid w:val="00615A47"/>
    <w:rsid w:val="006210FB"/>
    <w:rsid w:val="00654642"/>
    <w:rsid w:val="0065622C"/>
    <w:rsid w:val="0068258E"/>
    <w:rsid w:val="006871C2"/>
    <w:rsid w:val="0069261B"/>
    <w:rsid w:val="006B75CD"/>
    <w:rsid w:val="006C1A99"/>
    <w:rsid w:val="006D5B1B"/>
    <w:rsid w:val="006E3770"/>
    <w:rsid w:val="006E5DAA"/>
    <w:rsid w:val="007337BC"/>
    <w:rsid w:val="0073717C"/>
    <w:rsid w:val="00755DB0"/>
    <w:rsid w:val="00786492"/>
    <w:rsid w:val="007A1956"/>
    <w:rsid w:val="007D68FC"/>
    <w:rsid w:val="007E0AB8"/>
    <w:rsid w:val="007E69B3"/>
    <w:rsid w:val="008041DA"/>
    <w:rsid w:val="00810AAA"/>
    <w:rsid w:val="00810CD5"/>
    <w:rsid w:val="008221E7"/>
    <w:rsid w:val="00835C75"/>
    <w:rsid w:val="00856EAE"/>
    <w:rsid w:val="00875A79"/>
    <w:rsid w:val="00892DB8"/>
    <w:rsid w:val="00893A3B"/>
    <w:rsid w:val="008B129A"/>
    <w:rsid w:val="008B35F3"/>
    <w:rsid w:val="008D5B42"/>
    <w:rsid w:val="008E1780"/>
    <w:rsid w:val="008E25F3"/>
    <w:rsid w:val="008F6A3F"/>
    <w:rsid w:val="009100B2"/>
    <w:rsid w:val="00915462"/>
    <w:rsid w:val="00921210"/>
    <w:rsid w:val="00972858"/>
    <w:rsid w:val="0098020A"/>
    <w:rsid w:val="009820CD"/>
    <w:rsid w:val="0098607F"/>
    <w:rsid w:val="009A7DD5"/>
    <w:rsid w:val="009C0383"/>
    <w:rsid w:val="009F5BF7"/>
    <w:rsid w:val="00A00FA6"/>
    <w:rsid w:val="00A407FA"/>
    <w:rsid w:val="00A70A05"/>
    <w:rsid w:val="00A72FE1"/>
    <w:rsid w:val="00A83A51"/>
    <w:rsid w:val="00A957E7"/>
    <w:rsid w:val="00AC62CD"/>
    <w:rsid w:val="00AE7100"/>
    <w:rsid w:val="00AF1FED"/>
    <w:rsid w:val="00AF4B57"/>
    <w:rsid w:val="00B5466F"/>
    <w:rsid w:val="00B70CF5"/>
    <w:rsid w:val="00B7342C"/>
    <w:rsid w:val="00B73E3D"/>
    <w:rsid w:val="00B7480F"/>
    <w:rsid w:val="00BB2C07"/>
    <w:rsid w:val="00BB7701"/>
    <w:rsid w:val="00BC5B74"/>
    <w:rsid w:val="00BF5E6F"/>
    <w:rsid w:val="00C05BDB"/>
    <w:rsid w:val="00C06C1C"/>
    <w:rsid w:val="00C42977"/>
    <w:rsid w:val="00C51968"/>
    <w:rsid w:val="00CA1F64"/>
    <w:rsid w:val="00CB4047"/>
    <w:rsid w:val="00CB64F3"/>
    <w:rsid w:val="00CD31D3"/>
    <w:rsid w:val="00CE5DA0"/>
    <w:rsid w:val="00CF139C"/>
    <w:rsid w:val="00D02648"/>
    <w:rsid w:val="00D476E4"/>
    <w:rsid w:val="00D52F0F"/>
    <w:rsid w:val="00D71CBD"/>
    <w:rsid w:val="00D873ED"/>
    <w:rsid w:val="00DA1E96"/>
    <w:rsid w:val="00DA25A6"/>
    <w:rsid w:val="00DA761B"/>
    <w:rsid w:val="00DB29CC"/>
    <w:rsid w:val="00DB3373"/>
    <w:rsid w:val="00DB6E0C"/>
    <w:rsid w:val="00DC65DF"/>
    <w:rsid w:val="00DF6139"/>
    <w:rsid w:val="00E04BA4"/>
    <w:rsid w:val="00E06B24"/>
    <w:rsid w:val="00E10A88"/>
    <w:rsid w:val="00E1499D"/>
    <w:rsid w:val="00E1666C"/>
    <w:rsid w:val="00E26682"/>
    <w:rsid w:val="00E97BB0"/>
    <w:rsid w:val="00EB4F14"/>
    <w:rsid w:val="00EC76F6"/>
    <w:rsid w:val="00ED1967"/>
    <w:rsid w:val="00ED228D"/>
    <w:rsid w:val="00ED3A4D"/>
    <w:rsid w:val="00EF2877"/>
    <w:rsid w:val="00EF77E2"/>
    <w:rsid w:val="00F010F5"/>
    <w:rsid w:val="00F04684"/>
    <w:rsid w:val="00F31272"/>
    <w:rsid w:val="00F56FD9"/>
    <w:rsid w:val="00F62F18"/>
    <w:rsid w:val="00F63943"/>
    <w:rsid w:val="00F649E0"/>
    <w:rsid w:val="00F67198"/>
    <w:rsid w:val="00F84EA0"/>
    <w:rsid w:val="00F9641F"/>
    <w:rsid w:val="00FB35A0"/>
    <w:rsid w:val="00FC2327"/>
    <w:rsid w:val="00FE00FD"/>
    <w:rsid w:val="00FE1694"/>
    <w:rsid w:val="00FF2B1E"/>
    <w:rsid w:val="00FF4081"/>
    <w:rsid w:val="048760F2"/>
    <w:rsid w:val="04901F23"/>
    <w:rsid w:val="04D04674"/>
    <w:rsid w:val="07DE427B"/>
    <w:rsid w:val="0B1547EB"/>
    <w:rsid w:val="0D057296"/>
    <w:rsid w:val="0EC90847"/>
    <w:rsid w:val="11CA7E61"/>
    <w:rsid w:val="11D861DF"/>
    <w:rsid w:val="12FA679C"/>
    <w:rsid w:val="13FA6F4D"/>
    <w:rsid w:val="187B071F"/>
    <w:rsid w:val="1A07140F"/>
    <w:rsid w:val="1B671EB9"/>
    <w:rsid w:val="1BA61F06"/>
    <w:rsid w:val="1C1B432C"/>
    <w:rsid w:val="23935872"/>
    <w:rsid w:val="23A10B26"/>
    <w:rsid w:val="26575755"/>
    <w:rsid w:val="26705BD1"/>
    <w:rsid w:val="271F0AA6"/>
    <w:rsid w:val="2C7D6E8A"/>
    <w:rsid w:val="2E6A3E61"/>
    <w:rsid w:val="2E750BE6"/>
    <w:rsid w:val="30757063"/>
    <w:rsid w:val="307A24E3"/>
    <w:rsid w:val="3295007D"/>
    <w:rsid w:val="33C23C0F"/>
    <w:rsid w:val="357A3162"/>
    <w:rsid w:val="365F2065"/>
    <w:rsid w:val="38F417C2"/>
    <w:rsid w:val="3AB719AD"/>
    <w:rsid w:val="3C5C0AEC"/>
    <w:rsid w:val="3DDC7CE0"/>
    <w:rsid w:val="3F300E51"/>
    <w:rsid w:val="3F3643C1"/>
    <w:rsid w:val="40AF3302"/>
    <w:rsid w:val="429E3C61"/>
    <w:rsid w:val="44FE54A4"/>
    <w:rsid w:val="45D73ADC"/>
    <w:rsid w:val="4A712042"/>
    <w:rsid w:val="4E772229"/>
    <w:rsid w:val="55D15E8D"/>
    <w:rsid w:val="57BE466D"/>
    <w:rsid w:val="59096FBD"/>
    <w:rsid w:val="59B83EF9"/>
    <w:rsid w:val="5CAF2C65"/>
    <w:rsid w:val="5D5A2621"/>
    <w:rsid w:val="5DB726E8"/>
    <w:rsid w:val="5E553FA1"/>
    <w:rsid w:val="60595FE7"/>
    <w:rsid w:val="60664487"/>
    <w:rsid w:val="60FC4090"/>
    <w:rsid w:val="637C727C"/>
    <w:rsid w:val="692755F0"/>
    <w:rsid w:val="6A5C03FA"/>
    <w:rsid w:val="726538A7"/>
    <w:rsid w:val="74F10923"/>
    <w:rsid w:val="75D752AF"/>
    <w:rsid w:val="777C6249"/>
    <w:rsid w:val="7B3D379E"/>
    <w:rsid w:val="7B95779E"/>
    <w:rsid w:val="7BF15121"/>
    <w:rsid w:val="7C0139AB"/>
    <w:rsid w:val="7C1C039D"/>
    <w:rsid w:val="7CB40C82"/>
    <w:rsid w:val="7CD24A22"/>
    <w:rsid w:val="7CE4519D"/>
    <w:rsid w:val="7EB54A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宋体" w:eastAsia="宋体" w:cs="Times New Roman"/>
      <w:kern w:val="2"/>
      <w:sz w:val="21"/>
      <w:szCs w:val="21"/>
      <w:lang w:val="en-US" w:eastAsia="zh-CN" w:bidi="ar-SA"/>
    </w:rPr>
  </w:style>
  <w:style w:type="paragraph" w:styleId="3">
    <w:name w:val="heading 3"/>
    <w:basedOn w:val="1"/>
    <w:next w:val="1"/>
    <w:qFormat/>
    <w:uiPriority w:val="0"/>
    <w:pPr>
      <w:keepNext/>
      <w:keepLines/>
      <w:spacing w:line="413" w:lineRule="auto"/>
      <w:outlineLvl w:val="2"/>
    </w:pPr>
    <w:rPr>
      <w:b/>
      <w:sz w:val="32"/>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8"/>
    <w:qFormat/>
    <w:uiPriority w:val="0"/>
    <w:pPr>
      <w:widowControl w:val="0"/>
      <w:spacing w:after="120" w:line="240" w:lineRule="auto"/>
    </w:pPr>
    <w:rPr>
      <w:rFonts w:asciiTheme="minorHAnsi" w:hAnsiTheme="minorHAnsi" w:eastAsiaTheme="minorEastAsia" w:cstheme="minorBidi"/>
      <w:kern w:val="0"/>
      <w:szCs w:val="24"/>
    </w:rPr>
  </w:style>
  <w:style w:type="paragraph" w:styleId="4">
    <w:name w:val="annotation text"/>
    <w:basedOn w:val="1"/>
    <w:link w:val="24"/>
    <w:semiHidden/>
    <w:unhideWhenUsed/>
    <w:qFormat/>
    <w:uiPriority w:val="99"/>
    <w:pPr>
      <w:jc w:val="left"/>
    </w:pPr>
  </w:style>
  <w:style w:type="paragraph" w:styleId="5">
    <w:name w:val="Balloon Text"/>
    <w:basedOn w:val="1"/>
    <w:link w:val="26"/>
    <w:semiHidden/>
    <w:unhideWhenUsed/>
    <w:qFormat/>
    <w:uiPriority w:val="99"/>
    <w:pPr>
      <w:spacing w:line="240" w:lineRule="auto"/>
    </w:pPr>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Subtitle"/>
    <w:basedOn w:val="1"/>
    <w:next w:val="1"/>
    <w:link w:val="20"/>
    <w:qFormat/>
    <w:uiPriority w:val="11"/>
    <w:pPr>
      <w:spacing w:before="240" w:after="60" w:line="312" w:lineRule="auto"/>
      <w:jc w:val="left"/>
      <w:outlineLvl w:val="1"/>
    </w:pPr>
    <w:rPr>
      <w:rFonts w:asciiTheme="minorHAnsi" w:hAnsiTheme="minorHAnsi"/>
      <w:b/>
      <w:bCs/>
      <w:kern w:val="28"/>
      <w:sz w:val="24"/>
      <w:szCs w:val="32"/>
    </w:rPr>
  </w:style>
  <w:style w:type="paragraph" w:styleId="9">
    <w:name w:val="Body Text 2"/>
    <w:basedOn w:val="1"/>
    <w:link w:val="19"/>
    <w:qFormat/>
    <w:uiPriority w:val="0"/>
    <w:pPr>
      <w:widowControl w:val="0"/>
      <w:spacing w:line="240" w:lineRule="auto"/>
      <w:jc w:val="center"/>
    </w:pPr>
    <w:rPr>
      <w:rFonts w:asciiTheme="minorHAnsi" w:hAnsiTheme="minorHAnsi" w:eastAsiaTheme="minorEastAsia" w:cstheme="minorBidi"/>
      <w:kern w:val="0"/>
      <w:szCs w:val="24"/>
    </w:rPr>
  </w:style>
  <w:style w:type="paragraph" w:styleId="10">
    <w:name w:val="annotation subject"/>
    <w:basedOn w:val="4"/>
    <w:next w:val="4"/>
    <w:link w:val="25"/>
    <w:semiHidden/>
    <w:unhideWhenUsed/>
    <w:qFormat/>
    <w:uiPriority w:val="99"/>
    <w:rPr>
      <w:b/>
      <w:bCs/>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basedOn w:val="13"/>
    <w:semiHidden/>
    <w:unhideWhenUsed/>
    <w:qFormat/>
    <w:uiPriority w:val="99"/>
    <w:rPr>
      <w:sz w:val="21"/>
      <w:szCs w:val="21"/>
    </w:rPr>
  </w:style>
  <w:style w:type="paragraph" w:customStyle="1" w:styleId="15">
    <w:name w:val="首行缩进"/>
    <w:basedOn w:val="1"/>
    <w:qFormat/>
    <w:uiPriority w:val="0"/>
    <w:pPr>
      <w:widowControl w:val="0"/>
      <w:ind w:firstLine="480"/>
    </w:pPr>
    <w:rPr>
      <w:rFonts w:ascii="Times New Roman" w:hAnsi="Times New Roman"/>
    </w:rPr>
  </w:style>
  <w:style w:type="character" w:customStyle="1" w:styleId="16">
    <w:name w:val="页眉 Char"/>
    <w:basedOn w:val="13"/>
    <w:link w:val="7"/>
    <w:qFormat/>
    <w:uiPriority w:val="99"/>
    <w:rPr>
      <w:sz w:val="18"/>
      <w:szCs w:val="18"/>
    </w:rPr>
  </w:style>
  <w:style w:type="character" w:customStyle="1" w:styleId="17">
    <w:name w:val="页脚 Char"/>
    <w:basedOn w:val="13"/>
    <w:link w:val="6"/>
    <w:qFormat/>
    <w:uiPriority w:val="99"/>
    <w:rPr>
      <w:sz w:val="18"/>
      <w:szCs w:val="18"/>
    </w:rPr>
  </w:style>
  <w:style w:type="character" w:customStyle="1" w:styleId="18">
    <w:name w:val="正文文本 Char"/>
    <w:basedOn w:val="13"/>
    <w:link w:val="2"/>
    <w:qFormat/>
    <w:uiPriority w:val="0"/>
    <w:rPr>
      <w:kern w:val="0"/>
      <w:szCs w:val="24"/>
    </w:rPr>
  </w:style>
  <w:style w:type="character" w:customStyle="1" w:styleId="19">
    <w:name w:val="正文文本 2 Char"/>
    <w:basedOn w:val="13"/>
    <w:link w:val="9"/>
    <w:qFormat/>
    <w:uiPriority w:val="0"/>
    <w:rPr>
      <w:kern w:val="0"/>
      <w:szCs w:val="24"/>
    </w:rPr>
  </w:style>
  <w:style w:type="character" w:customStyle="1" w:styleId="20">
    <w:name w:val="副标题 Char"/>
    <w:basedOn w:val="13"/>
    <w:link w:val="8"/>
    <w:qFormat/>
    <w:uiPriority w:val="11"/>
    <w:rPr>
      <w:rFonts w:eastAsia="宋体" w:cs="Times New Roman"/>
      <w:b/>
      <w:bCs/>
      <w:kern w:val="28"/>
      <w:sz w:val="24"/>
      <w:szCs w:val="32"/>
    </w:rPr>
  </w:style>
  <w:style w:type="paragraph" w:styleId="21">
    <w:name w:val="List Paragraph"/>
    <w:basedOn w:val="1"/>
    <w:next w:val="4"/>
    <w:qFormat/>
    <w:uiPriority w:val="34"/>
    <w:pPr>
      <w:ind w:firstLine="420" w:firstLineChars="200"/>
    </w:pPr>
  </w:style>
  <w:style w:type="character" w:customStyle="1" w:styleId="22">
    <w:name w:val="列表段落 字符"/>
    <w:link w:val="23"/>
    <w:qFormat/>
    <w:locked/>
    <w:uiPriority w:val="34"/>
    <w:rPr>
      <w:rFonts w:ascii="DengXian" w:hAnsi="DengXian" w:eastAsia="DengXian"/>
    </w:rPr>
  </w:style>
  <w:style w:type="paragraph" w:customStyle="1" w:styleId="23">
    <w:name w:val="列表段落1"/>
    <w:basedOn w:val="1"/>
    <w:link w:val="22"/>
    <w:qFormat/>
    <w:uiPriority w:val="34"/>
    <w:pPr>
      <w:widowControl w:val="0"/>
      <w:spacing w:line="240" w:lineRule="auto"/>
      <w:ind w:firstLine="420" w:firstLineChars="200"/>
    </w:pPr>
    <w:rPr>
      <w:rFonts w:ascii="DengXian" w:hAnsi="DengXian" w:eastAsia="DengXian" w:cstheme="minorBidi"/>
      <w:szCs w:val="22"/>
    </w:rPr>
  </w:style>
  <w:style w:type="character" w:customStyle="1" w:styleId="24">
    <w:name w:val="批注文字 Char"/>
    <w:basedOn w:val="13"/>
    <w:link w:val="4"/>
    <w:semiHidden/>
    <w:qFormat/>
    <w:uiPriority w:val="99"/>
    <w:rPr>
      <w:rFonts w:ascii="宋体" w:hAnsi="宋体" w:eastAsia="宋体" w:cs="Times New Roman"/>
      <w:kern w:val="2"/>
      <w:sz w:val="21"/>
      <w:szCs w:val="21"/>
    </w:rPr>
  </w:style>
  <w:style w:type="character" w:customStyle="1" w:styleId="25">
    <w:name w:val="批注主题 Char"/>
    <w:basedOn w:val="24"/>
    <w:link w:val="10"/>
    <w:semiHidden/>
    <w:qFormat/>
    <w:uiPriority w:val="99"/>
    <w:rPr>
      <w:rFonts w:ascii="宋体" w:hAnsi="宋体" w:eastAsia="宋体" w:cs="Times New Roman"/>
      <w:b/>
      <w:bCs/>
      <w:kern w:val="2"/>
      <w:sz w:val="21"/>
      <w:szCs w:val="21"/>
    </w:rPr>
  </w:style>
  <w:style w:type="character" w:customStyle="1" w:styleId="26">
    <w:name w:val="批注框文本 Char"/>
    <w:basedOn w:val="13"/>
    <w:link w:val="5"/>
    <w:semiHidden/>
    <w:qFormat/>
    <w:uiPriority w:val="99"/>
    <w:rPr>
      <w:rFonts w:ascii="宋体" w:hAnsi="宋体"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383</Words>
  <Characters>2185</Characters>
  <Lines>18</Lines>
  <Paragraphs>5</Paragraphs>
  <TotalTime>14</TotalTime>
  <ScaleCrop>false</ScaleCrop>
  <LinksUpToDate>false</LinksUpToDate>
  <CharactersWithSpaces>2563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2025-02-12T03:01:00Z</dcterms:created>
  <dc:creator>user</dc:creator>
  <cp:lastModifiedBy>user</cp:lastModifiedBy>
  <cp:lastPrinted>2024-04-28T01:45:00Z</cp:lastPrinted>
  <dcterms:modified xsi:type="dcterms:W3CDTF">2025-04-28T12:28:09Z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B0602450E39447E7A7AA06E16EABC6DB_12</vt:lpwstr>
  </property>
</Properties>
</file>