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center"/>
        <w:rPr>
          <w:rFonts w:ascii="方正小标宋简体" w:hAnsi="微软雅黑" w:eastAsia="方正小标宋简体"/>
          <w:bCs/>
          <w:color w:val="auto"/>
          <w:sz w:val="32"/>
          <w:szCs w:val="32"/>
        </w:rPr>
      </w:pPr>
      <w:r>
        <w:rPr>
          <w:rFonts w:hint="eastAsia" w:ascii="方正小标宋简体" w:hAnsi="微软雅黑" w:eastAsia="方正小标宋简体"/>
          <w:bCs/>
          <w:color w:val="auto"/>
          <w:sz w:val="32"/>
          <w:szCs w:val="32"/>
        </w:rPr>
        <w:t>医学影像冷数据存储技术要求</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一、简介</w:t>
      </w:r>
    </w:p>
    <w:p>
      <w:pPr>
        <w:widowControl w:val="0"/>
        <w:adjustRightInd w:val="0"/>
        <w:snapToGrid w:val="0"/>
        <w:spacing w:line="320" w:lineRule="exact"/>
        <w:ind w:firstLine="420" w:firstLineChars="200"/>
        <w:rPr>
          <w:rFonts w:ascii="仿宋_GB2312" w:eastAsia="仿宋_GB2312"/>
          <w:color w:val="auto"/>
        </w:rPr>
      </w:pPr>
      <w:r>
        <w:rPr>
          <w:rFonts w:hint="eastAsia" w:ascii="仿宋_GB2312" w:eastAsia="仿宋_GB2312"/>
          <w:color w:val="auto"/>
        </w:rPr>
        <w:t>医院现有</w:t>
      </w:r>
      <w:r>
        <w:rPr>
          <w:rFonts w:ascii="仿宋_GB2312" w:eastAsia="仿宋_GB2312"/>
          <w:color w:val="auto"/>
        </w:rPr>
        <w:t>2</w:t>
      </w:r>
      <w:r>
        <w:rPr>
          <w:rFonts w:hint="eastAsia" w:ascii="仿宋_GB2312" w:eastAsia="仿宋_GB2312"/>
          <w:color w:val="auto"/>
        </w:rPr>
        <w:t>套Unity480存储，双活架构，同时存储着HIS数据库、LIS、PACS、心电系统等核心业务数据，单套存储可使用容量206TB，已使用191TB，剩余15TB容量可使用，其中PACS业务数据占90TB，年增量20TB。随着业务的开展，剩余存储容量已无法满足业务开展需求。拟将PACS数据中低访问频次数据（2020年前的数据）按策略迁移至新采购的存储，实现存储资源优化使用。</w:t>
      </w:r>
      <w:bookmarkStart w:id="0" w:name="_GoBack"/>
      <w:bookmarkEnd w:id="0"/>
    </w:p>
    <w:p>
      <w:pPr>
        <w:widowControl w:val="0"/>
        <w:numPr>
          <w:ilvl w:val="0"/>
          <w:numId w:val="1"/>
        </w:numPr>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商务要求</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1</w:t>
      </w:r>
      <w:r>
        <w:rPr>
          <w:rFonts w:hint="eastAsia" w:ascii="仿宋_GB2312" w:eastAsia="仿宋_GB2312"/>
          <w:color w:val="auto"/>
        </w:rPr>
        <w:t>.</w:t>
      </w:r>
      <w:r>
        <w:rPr>
          <w:rFonts w:hint="eastAsia" w:ascii="仿宋_GB2312" w:hAnsi="仿宋_GB2312" w:eastAsia="仿宋_GB2312" w:cs="仿宋_GB2312"/>
          <w:color w:val="auto"/>
        </w:rPr>
        <w:t>验收后提供</w:t>
      </w:r>
      <w:r>
        <w:rPr>
          <w:rFonts w:hint="eastAsia" w:ascii="仿宋_GB2312" w:hAnsi="仿宋_GB2312" w:eastAsia="仿宋_GB2312" w:cs="仿宋_GB2312"/>
          <w:color w:val="auto"/>
        </w:rPr>
        <w:t>≥3年</w:t>
      </w:r>
      <w:r>
        <w:rPr>
          <w:rFonts w:hint="eastAsia" w:ascii="仿宋_GB2312" w:hAnsi="仿宋_GB2312" w:eastAsia="仿宋_GB2312" w:cs="仿宋_GB2312"/>
          <w:color w:val="auto"/>
        </w:rPr>
        <w:t>原厂保修服务，</w:t>
      </w:r>
      <w:r>
        <w:rPr>
          <w:rFonts w:hint="eastAsia" w:ascii="仿宋_GB2312" w:eastAsia="仿宋_GB2312"/>
          <w:color w:val="auto"/>
        </w:rPr>
        <w:t>质保期后每年维保价格≤中标价*10%。</w:t>
      </w:r>
      <w:r>
        <w:rPr>
          <w:rFonts w:hint="eastAsia" w:ascii="仿宋_GB2312" w:hAnsi="仿宋_GB2312" w:eastAsia="仿宋_GB2312" w:cs="仿宋_GB2312"/>
          <w:color w:val="auto"/>
        </w:rPr>
        <w:t>。</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cs="仿宋_GB2312"/>
          <w:color w:val="auto"/>
        </w:rPr>
        <w:t>2</w:t>
      </w:r>
      <w:r>
        <w:rPr>
          <w:rFonts w:hint="eastAsia" w:ascii="仿宋_GB2312" w:eastAsia="仿宋_GB2312"/>
          <w:color w:val="auto"/>
        </w:rPr>
        <w:t>.</w:t>
      </w:r>
      <w:r>
        <w:rPr>
          <w:rFonts w:hint="eastAsia" w:ascii="仿宋_GB2312" w:hAnsi="仿宋_GB2312" w:eastAsia="仿宋_GB2312" w:cs="仿宋_GB2312"/>
          <w:color w:val="auto"/>
        </w:rPr>
        <w:t>成交供应商需提供原厂工程师配合采购人完成原存储上的存储卷数据迁移服务，其中可能涉及到的人工费用由成交供应商负责。</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color w:val="auto"/>
        </w:rPr>
        <w:t>3</w:t>
      </w:r>
      <w:r>
        <w:rPr>
          <w:rFonts w:hint="eastAsia" w:ascii="仿宋_GB2312" w:eastAsia="仿宋_GB2312"/>
          <w:color w:val="auto"/>
        </w:rPr>
        <w:t>.</w:t>
      </w:r>
      <w:r>
        <w:rPr>
          <w:rFonts w:hint="eastAsia" w:ascii="仿宋_GB2312" w:hAnsi="仿宋_GB2312" w:eastAsia="仿宋_GB2312" w:cs="仿宋_GB2312"/>
          <w:color w:val="auto"/>
        </w:rPr>
        <w:t>投标人需对采购单位现有机房环境进行充分踏勘调研，详细阐述此次存储扩容部署方案及原有数据迁移方案；方案可行性取得原厂厂商批准，需提供加盖原厂厂商公章的数据迁移方案。</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hAnsi="仿宋" w:eastAsia="仿宋_GB2312"/>
          <w:color w:val="auto"/>
        </w:rPr>
        <w:t>4</w:t>
      </w:r>
      <w:r>
        <w:rPr>
          <w:rFonts w:hint="eastAsia" w:ascii="仿宋_GB2312" w:eastAsia="仿宋_GB2312"/>
          <w:color w:val="auto"/>
        </w:rPr>
        <w:t>.</w:t>
      </w:r>
      <w:r>
        <w:rPr>
          <w:rFonts w:hint="eastAsia" w:ascii="仿宋_GB2312" w:hAnsi="仿宋_GB2312" w:eastAsia="仿宋_GB2312" w:cs="仿宋_GB2312"/>
          <w:color w:val="auto"/>
        </w:rPr>
        <w:t>质保期内，免费提供7*24小时技术支持服务。若设备发生重大故障，服务商承诺维护工程师2小时内到达现场；若设备发生一般性故障（系统基本可以运行，但部分功能受到影响），服务商承诺维护工程师24小时内到达现场。</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color w:val="auto"/>
        </w:rPr>
        <w:t>5</w:t>
      </w:r>
      <w:r>
        <w:rPr>
          <w:rFonts w:hint="eastAsia" w:ascii="仿宋_GB2312" w:eastAsia="仿宋_GB2312"/>
          <w:color w:val="auto"/>
        </w:rPr>
        <w:t>.</w:t>
      </w:r>
      <w:r>
        <w:rPr>
          <w:rFonts w:hint="eastAsia" w:ascii="仿宋_GB2312" w:eastAsia="仿宋_GB2312" w:hAnsiTheme="minorHAnsi" w:cstheme="minorBidi"/>
          <w:color w:val="auto"/>
        </w:rPr>
        <w:t>质保期内每年提供不少于2</w:t>
      </w:r>
      <w:r>
        <w:rPr>
          <w:rFonts w:ascii="仿宋_GB2312" w:eastAsia="仿宋_GB2312" w:hAnsiTheme="minorHAnsi" w:cstheme="minorBidi"/>
          <w:color w:val="auto"/>
        </w:rPr>
        <w:t>次定期巡检与调优系统，提供巡检报告，及时排除故障隐患，调优系</w:t>
      </w:r>
      <w:r>
        <w:rPr>
          <w:rFonts w:hint="eastAsia" w:ascii="仿宋_GB2312" w:hAnsi="仿宋_GB2312" w:eastAsia="仿宋_GB2312" w:cs="仿宋_GB2312"/>
          <w:color w:val="auto"/>
        </w:rPr>
        <w:t>统性能，使系统始终处于高效率运行状态。</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color w:val="auto"/>
        </w:rPr>
        <w:t>6</w:t>
      </w:r>
      <w:r>
        <w:rPr>
          <w:rFonts w:hint="eastAsia" w:ascii="仿宋_GB2312" w:eastAsia="仿宋_GB2312"/>
          <w:color w:val="auto"/>
        </w:rPr>
        <w:t>.</w:t>
      </w:r>
      <w:r>
        <w:rPr>
          <w:rFonts w:hint="eastAsia" w:ascii="仿宋_GB2312" w:hAnsi="仿宋_GB2312" w:eastAsia="仿宋_GB2312" w:cs="仿宋_GB2312"/>
          <w:color w:val="auto"/>
        </w:rPr>
        <w:t>质保期内，</w:t>
      </w:r>
      <w:r>
        <w:rPr>
          <w:rFonts w:hint="eastAsia" w:ascii="仿宋_GB2312" w:hAnsi="仿宋_GB2312" w:eastAsia="仿宋_GB2312" w:cs="仿宋_GB2312"/>
          <w:color w:val="auto"/>
        </w:rPr>
        <w:t>提供故障硬盘免回收式的替换服务</w:t>
      </w:r>
      <w:r>
        <w:rPr>
          <w:rFonts w:hint="eastAsia" w:ascii="仿宋_GB2312" w:hAnsi="仿宋_GB2312" w:eastAsia="仿宋_GB2312" w:cs="仿宋_GB2312"/>
          <w:color w:val="auto"/>
        </w:rPr>
        <w:t>。</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7</w:t>
      </w:r>
      <w:r>
        <w:rPr>
          <w:rFonts w:hint="eastAsia" w:ascii="仿宋_GB2312" w:eastAsia="仿宋_GB2312" w:hAnsiTheme="minorHAnsi" w:cstheme="minorBidi"/>
          <w:color w:val="auto"/>
        </w:rPr>
        <w:t>.本项目为交钥匙工程，投标供应商报价必须包含该项目能投入正常使用及免费服务期内的所有费用。</w:t>
      </w:r>
    </w:p>
    <w:p>
      <w:pPr>
        <w:widowControl w:val="0"/>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8</w:t>
      </w:r>
      <w:r>
        <w:rPr>
          <w:rFonts w:hint="eastAsia" w:ascii="仿宋_GB2312" w:eastAsia="仿宋_GB2312"/>
          <w:color w:val="auto"/>
        </w:rPr>
        <w:t>.项目持续改造对于后续升级改造可能存在供应商以单一来源方式承担后续任务，供应商应给出价格优惠，总金额不得超过原项目招标控制价的50%。</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三、技术要求</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1</w:t>
      </w:r>
      <w:r>
        <w:rPr>
          <w:rFonts w:hint="eastAsia" w:ascii="仿宋_GB2312" w:eastAsia="仿宋_GB2312"/>
          <w:color w:val="auto"/>
        </w:rPr>
        <w:t>.</w:t>
      </w:r>
      <w:r>
        <w:rPr>
          <w:rFonts w:hint="eastAsia" w:ascii="仿宋_GB2312" w:hAnsi="仿宋_GB2312" w:eastAsia="仿宋_GB2312" w:cs="仿宋_GB2312"/>
          <w:color w:val="auto"/>
        </w:rPr>
        <w:t>品牌：国产品牌，数量</w:t>
      </w:r>
      <w:r>
        <w:rPr>
          <w:rFonts w:hint="eastAsia"/>
          <w:color w:val="auto"/>
        </w:rPr>
        <w:t>2套。</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eastAsia="仿宋_GB2312" w:cs="仿宋_GB2312"/>
          <w:color w:val="auto"/>
        </w:rPr>
        <w:t>2</w:t>
      </w:r>
      <w:r>
        <w:rPr>
          <w:rFonts w:hint="eastAsia" w:ascii="仿宋_GB2312" w:eastAsia="仿宋_GB2312"/>
          <w:color w:val="auto"/>
        </w:rPr>
        <w:t>.</w:t>
      </w:r>
      <w:r>
        <w:rPr>
          <w:rFonts w:hint="eastAsia" w:ascii="仿宋_GB2312" w:hAnsi="仿宋_GB2312" w:eastAsia="仿宋_GB2312" w:cs="仿宋_GB2312"/>
          <w:color w:val="auto"/>
        </w:rPr>
        <w:t>控制器：冗余双控制器架构，</w:t>
      </w:r>
      <w:r>
        <w:rPr>
          <w:rFonts w:hint="eastAsia" w:ascii="仿宋_GB2312" w:hAnsi="仿宋_GB2312" w:eastAsia="仿宋_GB2312" w:cs="仿宋_GB2312"/>
          <w:color w:val="auto"/>
        </w:rPr>
        <w:t>控制器为双活工作模式。实配双控制器</w:t>
      </w:r>
      <w:r>
        <w:rPr>
          <w:rFonts w:hint="eastAsia" w:ascii="仿宋_GB2312" w:hAnsi="仿宋_GB2312" w:eastAsia="仿宋_GB2312" w:cs="仿宋_GB2312"/>
          <w:color w:val="auto"/>
        </w:rPr>
        <w:t>，控制器内配置ASIC架构专用RAID计算芯片，可支持FC、iSCSI、SAS协议。</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3</w:t>
      </w:r>
      <w:r>
        <w:rPr>
          <w:rFonts w:hint="eastAsia" w:ascii="仿宋_GB2312" w:eastAsia="仿宋_GB2312"/>
          <w:color w:val="auto"/>
        </w:rPr>
        <w:t>.</w:t>
      </w:r>
      <w:r>
        <w:rPr>
          <w:rFonts w:hint="eastAsia" w:ascii="仿宋_GB2312" w:hAnsi="仿宋_GB2312" w:eastAsia="仿宋_GB2312" w:cs="仿宋_GB2312"/>
          <w:color w:val="auto"/>
        </w:rPr>
        <w:t>数据缓存：</w:t>
      </w:r>
      <w:r>
        <w:rPr>
          <w:rFonts w:hint="eastAsia" w:ascii="仿宋_GB2312" w:hAnsi="仿宋_GB2312" w:eastAsia="仿宋_GB2312" w:cs="仿宋_GB2312"/>
          <w:color w:val="auto"/>
        </w:rPr>
        <w:t>≥16GB缓存</w:t>
      </w:r>
      <w:r>
        <w:rPr>
          <w:rFonts w:hint="eastAsia" w:ascii="仿宋_GB2312" w:hAnsi="仿宋_GB2312" w:eastAsia="仿宋_GB2312" w:cs="仿宋_GB2312"/>
          <w:color w:val="auto"/>
        </w:rPr>
        <w:t>。</w:t>
      </w:r>
    </w:p>
    <w:p>
      <w:pPr>
        <w:pStyle w:val="2"/>
        <w:spacing w:line="320" w:lineRule="exact"/>
        <w:ind w:firstLine="420" w:firstLineChars="200"/>
        <w:rPr>
          <w:rFonts w:ascii="仿宋_GB2312" w:hAnsi="仿宋_GB2312" w:eastAsia="仿宋_GB2312" w:cs="仿宋_GB2312"/>
          <w:color w:val="auto"/>
        </w:rPr>
      </w:pPr>
      <w:r>
        <w:rPr>
          <w:rFonts w:ascii="仿宋_GB2312" w:hAnsi="仿宋" w:eastAsia="仿宋_GB2312"/>
          <w:color w:val="auto"/>
        </w:rPr>
        <w:t>4</w:t>
      </w:r>
      <w:r>
        <w:rPr>
          <w:rFonts w:hint="eastAsia" w:ascii="仿宋_GB2312" w:eastAsia="仿宋_GB2312"/>
          <w:color w:val="auto"/>
        </w:rPr>
        <w:t>.</w:t>
      </w:r>
      <w:r>
        <w:rPr>
          <w:rFonts w:hint="eastAsia" w:ascii="仿宋_GB2312" w:hAnsi="仿宋_GB2312" w:eastAsia="仿宋_GB2312" w:cs="仿宋_GB2312"/>
          <w:color w:val="auto"/>
        </w:rPr>
        <w:t>磁盘：双控最大可扩充磁盘数≥96, 支持SAS、NL-SAS、SSD盘，支持不同容量、不同类型的磁盘混合安装，本次配置</w:t>
      </w:r>
      <w:r>
        <w:rPr>
          <w:rFonts w:hint="eastAsia" w:ascii="仿宋_GB2312" w:hAnsi="仿宋_GB2312" w:eastAsia="仿宋_GB2312" w:cs="仿宋_GB2312"/>
          <w:color w:val="auto"/>
        </w:rPr>
        <w:t>≥10块18TB NL</w:t>
      </w:r>
      <w:r>
        <w:rPr>
          <w:rFonts w:hint="eastAsia" w:ascii="仿宋_GB2312" w:hAnsi="仿宋_GB2312" w:eastAsia="仿宋_GB2312" w:cs="仿宋_GB2312"/>
          <w:color w:val="auto"/>
        </w:rPr>
        <w:t>-SAS硬盘。</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5</w:t>
      </w:r>
      <w:r>
        <w:rPr>
          <w:rFonts w:hint="eastAsia" w:ascii="仿宋_GB2312" w:eastAsia="仿宋_GB2312"/>
          <w:color w:val="auto"/>
        </w:rPr>
        <w:t>.</w:t>
      </w:r>
      <w:r>
        <w:rPr>
          <w:rFonts w:hint="eastAsia" w:ascii="仿宋_GB2312" w:hAnsi="仿宋_GB2312" w:eastAsia="仿宋_GB2312" w:cs="仿宋_GB2312"/>
          <w:color w:val="auto"/>
        </w:rPr>
        <w:t>RAID种类: 支持多种工业标准RAID存储方式混用，包括单盘失效、双盘失效保护技术，包括RAID0/1/10/5/6/及动态磁盘池（RAID⒉0）技术。支持RAID组动态扩展，在线升级等。要求存储设备支持全局动态热备技术。在配置RAID2.0时，磁盘热备功能通过磁盘剩余空间实现。</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6</w:t>
      </w:r>
      <w:r>
        <w:rPr>
          <w:rFonts w:hint="eastAsia" w:ascii="仿宋_GB2312" w:eastAsia="仿宋_GB2312"/>
          <w:color w:val="auto"/>
        </w:rPr>
        <w:t>.</w:t>
      </w:r>
      <w:r>
        <w:rPr>
          <w:rFonts w:hint="eastAsia" w:ascii="仿宋_GB2312" w:hAnsi="仿宋_GB2312" w:eastAsia="仿宋_GB2312" w:cs="仿宋_GB2312"/>
          <w:color w:val="auto"/>
        </w:rPr>
        <w:t>二级缓存技术：支持SSD盘的智能二级缓存加速技术，可以将SAS、NL-SAS上的热点数据自动缓存至SDD盘，实现热点数据的加速。</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7</w:t>
      </w:r>
      <w:r>
        <w:rPr>
          <w:rFonts w:hint="eastAsia" w:ascii="仿宋_GB2312" w:eastAsia="仿宋_GB2312" w:hAnsiTheme="minorHAnsi" w:cstheme="minorBidi"/>
          <w:color w:val="auto"/>
        </w:rPr>
        <w:t>.</w:t>
      </w:r>
      <w:r>
        <w:rPr>
          <w:rFonts w:hint="eastAsia" w:ascii="仿宋_GB2312" w:hAnsi="仿宋_GB2312" w:eastAsia="仿宋_GB2312" w:cs="仿宋_GB2312"/>
          <w:color w:val="auto"/>
        </w:rPr>
        <w:t>前端服务器接口：支持≥4个</w:t>
      </w:r>
      <w:r>
        <w:rPr>
          <w:rFonts w:hint="eastAsia" w:ascii="仿宋_GB2312" w:hAnsi="仿宋_GB2312" w:eastAsia="仿宋_GB2312" w:cs="仿宋_GB2312"/>
          <w:color w:val="auto"/>
        </w:rPr>
        <w:t>16Gbps FC接口或者</w:t>
      </w:r>
      <w:r>
        <w:rPr>
          <w:rFonts w:hint="eastAsia" w:ascii="仿宋_GB2312" w:hAnsi="仿宋_GB2312" w:eastAsia="仿宋_GB2312" w:cs="仿宋_GB2312"/>
          <w:color w:val="auto"/>
        </w:rPr>
        <w:t>≥4个10</w:t>
      </w:r>
      <w:r>
        <w:rPr>
          <w:rFonts w:hint="eastAsia" w:ascii="仿宋_GB2312" w:hAnsi="仿宋_GB2312" w:eastAsia="仿宋_GB2312" w:cs="仿宋_GB2312"/>
          <w:color w:val="auto"/>
        </w:rPr>
        <w:t>Gbps iSCSI接口，</w:t>
      </w:r>
      <w:r>
        <w:rPr>
          <w:rFonts w:hint="eastAsia" w:ascii="仿宋_GB2312" w:hAnsi="仿宋_GB2312" w:eastAsia="仿宋_GB2312" w:cs="仿宋_GB2312"/>
          <w:color w:val="auto"/>
        </w:rPr>
        <w:t>本次配置≥4个16Gbps FC接口（按需配光模块）</w:t>
      </w:r>
      <w:r>
        <w:rPr>
          <w:rFonts w:hint="eastAsia" w:ascii="仿宋_GB2312" w:hAnsi="仿宋_GB2312" w:eastAsia="仿宋_GB2312" w:cs="仿宋_GB2312"/>
          <w:color w:val="auto"/>
        </w:rPr>
        <w:t>。</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8</w:t>
      </w:r>
      <w:r>
        <w:rPr>
          <w:rFonts w:hint="eastAsia" w:ascii="仿宋_GB2312" w:eastAsia="仿宋_GB2312"/>
          <w:color w:val="auto"/>
        </w:rPr>
        <w:t>.</w:t>
      </w:r>
      <w:r>
        <w:rPr>
          <w:rFonts w:hint="eastAsia" w:ascii="仿宋_GB2312" w:hAnsi="仿宋_GB2312" w:eastAsia="仿宋_GB2312" w:cs="仿宋_GB2312"/>
          <w:color w:val="auto"/>
        </w:rPr>
        <w:t>后端磁盘接口：</w:t>
      </w:r>
      <w:r>
        <w:rPr>
          <w:rFonts w:hint="eastAsia" w:ascii="仿宋_GB2312" w:hAnsi="仿宋_GB2312" w:eastAsia="仿宋_GB2312" w:cs="仿宋_GB2312"/>
          <w:color w:val="auto"/>
        </w:rPr>
        <w:t>双控≥2 个12Gbps MiniSAS端口</w:t>
      </w:r>
      <w:r>
        <w:rPr>
          <w:rFonts w:hint="eastAsia" w:ascii="仿宋_GB2312" w:hAnsi="仿宋_GB2312" w:eastAsia="仿宋_GB2312" w:cs="仿宋_GB2312"/>
          <w:color w:val="auto"/>
        </w:rPr>
        <w:t>。</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9</w:t>
      </w:r>
      <w:r>
        <w:rPr>
          <w:rFonts w:hint="eastAsia" w:ascii="仿宋_GB2312" w:eastAsia="仿宋_GB2312" w:hAnsiTheme="minorHAnsi" w:cstheme="minorBidi"/>
          <w:color w:val="auto"/>
        </w:rPr>
        <w:t>.</w:t>
      </w:r>
      <w:r>
        <w:rPr>
          <w:rFonts w:hint="eastAsia" w:ascii="仿宋_GB2312" w:hAnsi="仿宋_GB2312" w:eastAsia="仿宋_GB2312" w:cs="仿宋_GB2312"/>
          <w:color w:val="auto"/>
        </w:rPr>
        <w:t>存储快照与克隆复制：提供存储快照与克隆复制功能，支持针对主流应用（如：Oracle、SQL、Exchange、SAP等）和虚拟化环境（如VMware、Citrix、Hyper-V等）。</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hAnsiTheme="minorHAnsi" w:cstheme="minorBidi"/>
          <w:color w:val="auto"/>
        </w:rPr>
        <w:t>10</w:t>
      </w:r>
      <w:r>
        <w:rPr>
          <w:rFonts w:hint="eastAsia" w:ascii="仿宋_GB2312" w:eastAsia="仿宋_GB2312" w:hAnsiTheme="minorHAnsi" w:cstheme="minorBidi"/>
          <w:color w:val="auto"/>
        </w:rPr>
        <w:t>.</w:t>
      </w:r>
      <w:r>
        <w:rPr>
          <w:rFonts w:hint="eastAsia" w:ascii="仿宋_GB2312" w:hAnsi="仿宋_GB2312" w:eastAsia="仿宋_GB2312" w:cs="仿宋_GB2312"/>
          <w:color w:val="auto"/>
        </w:rPr>
        <w:t>精简配置：提供精简配置功能，提高存储利用率。</w:t>
      </w:r>
    </w:p>
    <w:p>
      <w:pPr>
        <w:pStyle w:val="2"/>
        <w:spacing w:line="320" w:lineRule="exact"/>
        <w:ind w:firstLine="420" w:firstLineChars="200"/>
        <w:rPr>
          <w:rFonts w:ascii="仿宋_GB2312" w:hAnsi="仿宋_GB2312" w:eastAsia="仿宋_GB2312" w:cs="仿宋_GB2312"/>
          <w:color w:val="auto"/>
        </w:rPr>
      </w:pPr>
      <w:r>
        <w:rPr>
          <w:rFonts w:hint="eastAsia" w:ascii="仿宋_GB2312" w:eastAsia="仿宋_GB2312" w:hAnsiTheme="minorHAnsi" w:cstheme="minorBidi"/>
          <w:color w:val="auto"/>
        </w:rPr>
        <w:t>1</w:t>
      </w:r>
      <w:r>
        <w:rPr>
          <w:rFonts w:ascii="仿宋_GB2312" w:eastAsia="仿宋_GB2312" w:hAnsiTheme="minorHAnsi" w:cstheme="minorBidi"/>
          <w:color w:val="auto"/>
        </w:rPr>
        <w:t>1</w:t>
      </w:r>
      <w:r>
        <w:rPr>
          <w:rFonts w:hint="eastAsia" w:ascii="仿宋_GB2312" w:eastAsia="仿宋_GB2312" w:hAnsiTheme="minorHAnsi" w:cstheme="minorBidi"/>
          <w:color w:val="auto"/>
        </w:rPr>
        <w:t>.</w:t>
      </w:r>
      <w:r>
        <w:rPr>
          <w:rFonts w:hint="eastAsia" w:ascii="仿宋_GB2312" w:hAnsi="仿宋_GB2312" w:eastAsia="仿宋_GB2312" w:cs="仿宋_GB2312"/>
          <w:color w:val="auto"/>
        </w:rPr>
        <w:t>设备兼容性：支持业界主流平台（Windows server、UNIX、LINUX、HP-UNIX、AIX、Solaris、VMware、Citrix、SuSE及Redhat等），兼容操作系统Cluster以及多路径管理功能，兼容NBU/NetWorker/CV/TSM/DB2等备份管理软件，兼容Oracle/Informix/Sybase/SQL Server/DB2等数据库，支持主流应用软件、中间件、安全、邮件、OA、第三方工具等软件；支持具备通过SNMP协议由网管系统对阵列告警进行统一采集处理的能力。</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12</w:t>
      </w:r>
      <w:r>
        <w:rPr>
          <w:rFonts w:hint="eastAsia" w:ascii="仿宋_GB2312" w:eastAsia="仿宋_GB2312"/>
          <w:color w:val="auto"/>
        </w:rPr>
        <w:t>.</w:t>
      </w:r>
      <w:r>
        <w:rPr>
          <w:rFonts w:hint="eastAsia" w:ascii="仿宋_GB2312" w:hAnsi="仿宋_GB2312" w:eastAsia="仿宋_GB2312" w:cs="仿宋_GB2312"/>
          <w:color w:val="auto"/>
        </w:rPr>
        <w:t>数据复制：可支持同步复制、异步复制功能。</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13</w:t>
      </w:r>
      <w:r>
        <w:rPr>
          <w:rFonts w:hint="eastAsia" w:ascii="仿宋_GB2312" w:eastAsia="仿宋_GB2312"/>
          <w:color w:val="auto"/>
        </w:rPr>
        <w:t>.</w:t>
      </w:r>
      <w:r>
        <w:rPr>
          <w:rFonts w:hint="eastAsia" w:ascii="仿宋_GB2312" w:hAnsi="仿宋_GB2312" w:eastAsia="仿宋_GB2312" w:cs="仿宋_GB2312"/>
          <w:color w:val="auto"/>
        </w:rPr>
        <w:t>功能要求：</w:t>
      </w:r>
      <w:r>
        <w:rPr>
          <w:rFonts w:hint="eastAsia" w:ascii="仿宋_GB2312" w:hAnsi="仿宋_GB2312" w:eastAsia="仿宋_GB2312" w:cs="仿宋_GB2312"/>
          <w:color w:val="auto"/>
        </w:rPr>
        <w:t>支持磁盘休眠</w:t>
      </w:r>
      <w:r>
        <w:rPr>
          <w:rFonts w:hint="eastAsia" w:ascii="仿宋_GB2312" w:hAnsi="仿宋_GB2312" w:eastAsia="仿宋_GB2312" w:cs="仿宋_GB2312"/>
          <w:color w:val="auto"/>
        </w:rPr>
        <w:t>，免费提供多路径管理功能，</w:t>
      </w:r>
      <w:r>
        <w:rPr>
          <w:rFonts w:hint="eastAsia" w:ascii="仿宋_GB2312" w:hAnsi="仿宋_GB2312" w:eastAsia="仿宋_GB2312" w:cs="仿宋_GB2312"/>
          <w:color w:val="auto"/>
        </w:rPr>
        <w:t>无主机连接数限制</w:t>
      </w:r>
      <w:r>
        <w:rPr>
          <w:rFonts w:hint="eastAsia" w:ascii="仿宋_GB2312" w:hAnsi="仿宋_GB2312" w:eastAsia="仿宋_GB2312" w:cs="仿宋_GB2312"/>
          <w:color w:val="auto"/>
        </w:rPr>
        <w:t>。</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14</w:t>
      </w:r>
      <w:r>
        <w:rPr>
          <w:rFonts w:hint="eastAsia" w:ascii="仿宋_GB2312" w:eastAsia="仿宋_GB2312"/>
          <w:color w:val="auto"/>
        </w:rPr>
        <w:t>.</w:t>
      </w:r>
      <w:r>
        <w:rPr>
          <w:rFonts w:hint="eastAsia" w:ascii="仿宋_GB2312" w:hAnsi="仿宋_GB2312" w:eastAsia="仿宋_GB2312" w:cs="仿宋_GB2312"/>
          <w:color w:val="auto"/>
        </w:rPr>
        <w:t>基本技术性能要求：最大逻辑卷数量≥2048，支持磁盘分区/最大分区数≥512，支持动态改变RAID方式，支持动态容量扩容，支持动态卷扩容，支持动态改变块，CACHE读/写速度（GB/s）≥12GB/s，支持写CACHE镜像，系统总线最大带宽（GB/s）≥12GB/s。</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15</w:t>
      </w:r>
      <w:r>
        <w:rPr>
          <w:rFonts w:hint="eastAsia" w:ascii="仿宋_GB2312" w:eastAsia="仿宋_GB2312"/>
          <w:color w:val="auto"/>
        </w:rPr>
        <w:t>.</w:t>
      </w:r>
      <w:r>
        <w:rPr>
          <w:rFonts w:hint="eastAsia" w:ascii="仿宋_GB2312" w:hAnsi="仿宋_GB2312" w:eastAsia="仿宋_GB2312" w:cs="仿宋_GB2312"/>
          <w:color w:val="auto"/>
        </w:rPr>
        <w:t>可管理性：配置中文图形化存储管理软件。对磁盘阵列的各项指标进行管理、调整和监测。实配中文图形化管理软件，可实现存储、服务器、网络在同一管理软件中统一管理。</w:t>
      </w:r>
    </w:p>
    <w:p>
      <w:pPr>
        <w:pStyle w:val="2"/>
        <w:spacing w:line="320" w:lineRule="exact"/>
        <w:ind w:firstLine="420" w:firstLineChars="200"/>
        <w:rPr>
          <w:rFonts w:ascii="仿宋_GB2312" w:hAnsi="仿宋_GB2312" w:eastAsia="仿宋_GB2312" w:cs="仿宋_GB2312"/>
          <w:color w:val="auto"/>
        </w:rPr>
      </w:pPr>
      <w:r>
        <w:rPr>
          <w:rFonts w:ascii="仿宋_GB2312" w:eastAsia="仿宋_GB2312"/>
          <w:color w:val="auto"/>
        </w:rPr>
        <w:t>16</w:t>
      </w:r>
      <w:r>
        <w:rPr>
          <w:rFonts w:hint="eastAsia" w:ascii="仿宋_GB2312" w:eastAsia="仿宋_GB2312"/>
          <w:color w:val="auto"/>
        </w:rPr>
        <w:t>.</w:t>
      </w:r>
      <w:r>
        <w:rPr>
          <w:rFonts w:hint="eastAsia" w:ascii="仿宋_GB2312" w:hAnsi="仿宋_GB2312" w:eastAsia="仿宋_GB2312" w:cs="仿宋_GB2312"/>
          <w:color w:val="auto"/>
        </w:rPr>
        <w:t>可用性：配置冗余电源、冗余风扇、冗余控制器；</w:t>
      </w:r>
      <w:r>
        <w:rPr>
          <w:rFonts w:hint="eastAsia" w:ascii="仿宋_GB2312" w:hAnsi="仿宋_GB2312" w:eastAsia="仿宋_GB2312" w:cs="仿宋_GB2312"/>
          <w:color w:val="auto"/>
        </w:rPr>
        <w:t>支持在线可热插拔更换</w:t>
      </w:r>
      <w:r>
        <w:rPr>
          <w:rFonts w:hint="eastAsia" w:ascii="仿宋_GB2312" w:hAnsi="仿宋_GB2312" w:eastAsia="仿宋_GB2312" w:cs="仿宋_GB2312"/>
          <w:color w:val="auto"/>
        </w:rPr>
        <w:t>。</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Arial Unicode MS"/>
    <w:panose1 w:val="00000000000000000000"/>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2440682"/>
    </w:sdtPr>
    <w:sdtContent>
      <w:sdt>
        <w:sdtPr>
          <w:id w:val="860082579"/>
        </w:sdtPr>
        <w:sdtContent>
          <w:p>
            <w:pPr>
              <w:pStyle w:val="7"/>
              <w:jc w:val="right"/>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1FDE4"/>
    <w:multiLevelType w:val="singleLevel"/>
    <w:tmpl w:val="65A1FD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xZWJmZDhjMmE0OTBkNDJiNDEyOGI1OWE4MzBiMGUifQ=="/>
  </w:docVars>
  <w:rsids>
    <w:rsidRoot w:val="008041DA"/>
    <w:rsid w:val="00010D54"/>
    <w:rsid w:val="000126B3"/>
    <w:rsid w:val="00020412"/>
    <w:rsid w:val="0002193A"/>
    <w:rsid w:val="0002297A"/>
    <w:rsid w:val="0002672A"/>
    <w:rsid w:val="0005254F"/>
    <w:rsid w:val="000534C9"/>
    <w:rsid w:val="00054691"/>
    <w:rsid w:val="000551EF"/>
    <w:rsid w:val="00056728"/>
    <w:rsid w:val="00072AEE"/>
    <w:rsid w:val="00081E08"/>
    <w:rsid w:val="000A3C45"/>
    <w:rsid w:val="000C0D6F"/>
    <w:rsid w:val="000C1DB7"/>
    <w:rsid w:val="000F098F"/>
    <w:rsid w:val="00116B50"/>
    <w:rsid w:val="0013737D"/>
    <w:rsid w:val="00141C71"/>
    <w:rsid w:val="00150772"/>
    <w:rsid w:val="001B2BAB"/>
    <w:rsid w:val="001B492F"/>
    <w:rsid w:val="001E07D9"/>
    <w:rsid w:val="00212E9A"/>
    <w:rsid w:val="0021379A"/>
    <w:rsid w:val="0023190A"/>
    <w:rsid w:val="0023328E"/>
    <w:rsid w:val="0024042B"/>
    <w:rsid w:val="00246EEF"/>
    <w:rsid w:val="00255540"/>
    <w:rsid w:val="00260AD9"/>
    <w:rsid w:val="00273C3F"/>
    <w:rsid w:val="00280162"/>
    <w:rsid w:val="00283B16"/>
    <w:rsid w:val="002846BB"/>
    <w:rsid w:val="002944A0"/>
    <w:rsid w:val="002B6F83"/>
    <w:rsid w:val="002D475C"/>
    <w:rsid w:val="002E32BF"/>
    <w:rsid w:val="002F5E8C"/>
    <w:rsid w:val="0030154E"/>
    <w:rsid w:val="00304298"/>
    <w:rsid w:val="00305F50"/>
    <w:rsid w:val="003078EB"/>
    <w:rsid w:val="00323BD4"/>
    <w:rsid w:val="003405F0"/>
    <w:rsid w:val="00350CB5"/>
    <w:rsid w:val="00352531"/>
    <w:rsid w:val="003732B5"/>
    <w:rsid w:val="003914DF"/>
    <w:rsid w:val="003949DC"/>
    <w:rsid w:val="003B1477"/>
    <w:rsid w:val="003C7536"/>
    <w:rsid w:val="003E13DE"/>
    <w:rsid w:val="003E5BCD"/>
    <w:rsid w:val="003F45CA"/>
    <w:rsid w:val="00416D1D"/>
    <w:rsid w:val="00422B69"/>
    <w:rsid w:val="004355AB"/>
    <w:rsid w:val="004416F3"/>
    <w:rsid w:val="00460CD8"/>
    <w:rsid w:val="00463DC1"/>
    <w:rsid w:val="004900FE"/>
    <w:rsid w:val="00496204"/>
    <w:rsid w:val="004A2DC8"/>
    <w:rsid w:val="004A6210"/>
    <w:rsid w:val="004E1C2E"/>
    <w:rsid w:val="004F1E6F"/>
    <w:rsid w:val="00514072"/>
    <w:rsid w:val="00540B68"/>
    <w:rsid w:val="00595567"/>
    <w:rsid w:val="0059584A"/>
    <w:rsid w:val="005A3DE5"/>
    <w:rsid w:val="005B0536"/>
    <w:rsid w:val="005B45C9"/>
    <w:rsid w:val="005C403A"/>
    <w:rsid w:val="005C4416"/>
    <w:rsid w:val="005E23E2"/>
    <w:rsid w:val="00615A47"/>
    <w:rsid w:val="006210FB"/>
    <w:rsid w:val="00654642"/>
    <w:rsid w:val="00660548"/>
    <w:rsid w:val="0068258E"/>
    <w:rsid w:val="0069261B"/>
    <w:rsid w:val="006B75CD"/>
    <w:rsid w:val="006C0593"/>
    <w:rsid w:val="006C1A99"/>
    <w:rsid w:val="006C1D89"/>
    <w:rsid w:val="006D5B1B"/>
    <w:rsid w:val="006E3770"/>
    <w:rsid w:val="006E5DAA"/>
    <w:rsid w:val="007337BC"/>
    <w:rsid w:val="0073717C"/>
    <w:rsid w:val="00755DB0"/>
    <w:rsid w:val="00786492"/>
    <w:rsid w:val="0079645A"/>
    <w:rsid w:val="007A1956"/>
    <w:rsid w:val="007A7254"/>
    <w:rsid w:val="007D68FC"/>
    <w:rsid w:val="007E0AB8"/>
    <w:rsid w:val="007E69B3"/>
    <w:rsid w:val="008041DA"/>
    <w:rsid w:val="00810AAA"/>
    <w:rsid w:val="008221E7"/>
    <w:rsid w:val="00835C75"/>
    <w:rsid w:val="00856EAE"/>
    <w:rsid w:val="00875570"/>
    <w:rsid w:val="00875A79"/>
    <w:rsid w:val="00892DB8"/>
    <w:rsid w:val="00893A3B"/>
    <w:rsid w:val="008A3FCB"/>
    <w:rsid w:val="008B129A"/>
    <w:rsid w:val="008B35F3"/>
    <w:rsid w:val="008E1780"/>
    <w:rsid w:val="008E25F3"/>
    <w:rsid w:val="008F6A3F"/>
    <w:rsid w:val="00900DCE"/>
    <w:rsid w:val="009100B2"/>
    <w:rsid w:val="00915462"/>
    <w:rsid w:val="00921210"/>
    <w:rsid w:val="0098020A"/>
    <w:rsid w:val="009820CD"/>
    <w:rsid w:val="0098607F"/>
    <w:rsid w:val="00986A8E"/>
    <w:rsid w:val="009A7DD5"/>
    <w:rsid w:val="009C0383"/>
    <w:rsid w:val="009F5BF7"/>
    <w:rsid w:val="00A00FA6"/>
    <w:rsid w:val="00A407FA"/>
    <w:rsid w:val="00A70A05"/>
    <w:rsid w:val="00A72FE1"/>
    <w:rsid w:val="00A83A51"/>
    <w:rsid w:val="00AC62CD"/>
    <w:rsid w:val="00AF11F3"/>
    <w:rsid w:val="00AF1FED"/>
    <w:rsid w:val="00AF4B57"/>
    <w:rsid w:val="00B17430"/>
    <w:rsid w:val="00B26C37"/>
    <w:rsid w:val="00B54432"/>
    <w:rsid w:val="00B5466F"/>
    <w:rsid w:val="00B70CF5"/>
    <w:rsid w:val="00B72FDF"/>
    <w:rsid w:val="00B7342C"/>
    <w:rsid w:val="00B73E3D"/>
    <w:rsid w:val="00B7480F"/>
    <w:rsid w:val="00BB2C07"/>
    <w:rsid w:val="00BB7701"/>
    <w:rsid w:val="00BC5B74"/>
    <w:rsid w:val="00BF5E6F"/>
    <w:rsid w:val="00C05BDB"/>
    <w:rsid w:val="00C06C1C"/>
    <w:rsid w:val="00C42977"/>
    <w:rsid w:val="00C51968"/>
    <w:rsid w:val="00C71A2C"/>
    <w:rsid w:val="00CA1F64"/>
    <w:rsid w:val="00CB4047"/>
    <w:rsid w:val="00CB64F3"/>
    <w:rsid w:val="00CD31D3"/>
    <w:rsid w:val="00CE5DA0"/>
    <w:rsid w:val="00CE5DA3"/>
    <w:rsid w:val="00CF139C"/>
    <w:rsid w:val="00D02648"/>
    <w:rsid w:val="00D476E4"/>
    <w:rsid w:val="00D52F0F"/>
    <w:rsid w:val="00D6706F"/>
    <w:rsid w:val="00D71CBD"/>
    <w:rsid w:val="00DA1E96"/>
    <w:rsid w:val="00DA25A6"/>
    <w:rsid w:val="00DA761B"/>
    <w:rsid w:val="00DB29CC"/>
    <w:rsid w:val="00DB3373"/>
    <w:rsid w:val="00DB6E0C"/>
    <w:rsid w:val="00DC65DF"/>
    <w:rsid w:val="00DF6139"/>
    <w:rsid w:val="00E04BA4"/>
    <w:rsid w:val="00E06B24"/>
    <w:rsid w:val="00E10A88"/>
    <w:rsid w:val="00E1499D"/>
    <w:rsid w:val="00E1666C"/>
    <w:rsid w:val="00E26682"/>
    <w:rsid w:val="00E647A8"/>
    <w:rsid w:val="00E97BB0"/>
    <w:rsid w:val="00EB4F14"/>
    <w:rsid w:val="00EC76F6"/>
    <w:rsid w:val="00ED1967"/>
    <w:rsid w:val="00ED228D"/>
    <w:rsid w:val="00ED3A4D"/>
    <w:rsid w:val="00EF2877"/>
    <w:rsid w:val="00EF77E2"/>
    <w:rsid w:val="00F010F5"/>
    <w:rsid w:val="00F04684"/>
    <w:rsid w:val="00F31272"/>
    <w:rsid w:val="00F56FD9"/>
    <w:rsid w:val="00F62F18"/>
    <w:rsid w:val="00F63943"/>
    <w:rsid w:val="00F649E0"/>
    <w:rsid w:val="00F84EA0"/>
    <w:rsid w:val="00F9641F"/>
    <w:rsid w:val="00FB35A0"/>
    <w:rsid w:val="00FB788E"/>
    <w:rsid w:val="00FC1674"/>
    <w:rsid w:val="00FC2327"/>
    <w:rsid w:val="00FE00FD"/>
    <w:rsid w:val="00FE1694"/>
    <w:rsid w:val="00FF2B1E"/>
    <w:rsid w:val="00FF4081"/>
    <w:rsid w:val="017B2F92"/>
    <w:rsid w:val="048760F2"/>
    <w:rsid w:val="07DE427B"/>
    <w:rsid w:val="08BC240D"/>
    <w:rsid w:val="09DD3FA4"/>
    <w:rsid w:val="0A2B2FD1"/>
    <w:rsid w:val="0B1547EB"/>
    <w:rsid w:val="0B607048"/>
    <w:rsid w:val="0D714F0E"/>
    <w:rsid w:val="0D9E1C0F"/>
    <w:rsid w:val="0EC90847"/>
    <w:rsid w:val="10155B34"/>
    <w:rsid w:val="11701C05"/>
    <w:rsid w:val="11CA7E61"/>
    <w:rsid w:val="12B10B12"/>
    <w:rsid w:val="12FA679C"/>
    <w:rsid w:val="13FA6F4D"/>
    <w:rsid w:val="14FE762F"/>
    <w:rsid w:val="15C54D49"/>
    <w:rsid w:val="187B071F"/>
    <w:rsid w:val="18C33DFC"/>
    <w:rsid w:val="1A07140F"/>
    <w:rsid w:val="1B671EB9"/>
    <w:rsid w:val="1B6B4EE3"/>
    <w:rsid w:val="1BA61F06"/>
    <w:rsid w:val="1D0E2A74"/>
    <w:rsid w:val="1D6B5BFB"/>
    <w:rsid w:val="20BC116C"/>
    <w:rsid w:val="233E0535"/>
    <w:rsid w:val="23935872"/>
    <w:rsid w:val="251B6D10"/>
    <w:rsid w:val="26575755"/>
    <w:rsid w:val="2B7F4745"/>
    <w:rsid w:val="2CC13E88"/>
    <w:rsid w:val="2E6A3E61"/>
    <w:rsid w:val="2E750BE6"/>
    <w:rsid w:val="32A92DDD"/>
    <w:rsid w:val="3304005B"/>
    <w:rsid w:val="34733E19"/>
    <w:rsid w:val="347B2CCE"/>
    <w:rsid w:val="36352F10"/>
    <w:rsid w:val="372D1E68"/>
    <w:rsid w:val="38AC7669"/>
    <w:rsid w:val="3B4043FB"/>
    <w:rsid w:val="3C5C0AEC"/>
    <w:rsid w:val="3DBF6CA9"/>
    <w:rsid w:val="3EC21A15"/>
    <w:rsid w:val="3F300E51"/>
    <w:rsid w:val="40AF3302"/>
    <w:rsid w:val="42236F5F"/>
    <w:rsid w:val="42E71023"/>
    <w:rsid w:val="43207B28"/>
    <w:rsid w:val="457F3A99"/>
    <w:rsid w:val="45D73ADC"/>
    <w:rsid w:val="4AE922E8"/>
    <w:rsid w:val="4D92310A"/>
    <w:rsid w:val="51C27D36"/>
    <w:rsid w:val="528172AA"/>
    <w:rsid w:val="538F2260"/>
    <w:rsid w:val="53EB5322"/>
    <w:rsid w:val="55652EB2"/>
    <w:rsid w:val="558D56CC"/>
    <w:rsid w:val="5597445D"/>
    <w:rsid w:val="55D15E8D"/>
    <w:rsid w:val="57BE466D"/>
    <w:rsid w:val="57CB270F"/>
    <w:rsid w:val="5B590DC3"/>
    <w:rsid w:val="5C1B42CB"/>
    <w:rsid w:val="5CAF2C65"/>
    <w:rsid w:val="5DB726E8"/>
    <w:rsid w:val="5DFC012C"/>
    <w:rsid w:val="5F6441DB"/>
    <w:rsid w:val="60FC4090"/>
    <w:rsid w:val="61FA4A17"/>
    <w:rsid w:val="67FC773A"/>
    <w:rsid w:val="6AAE27AE"/>
    <w:rsid w:val="6CCC107E"/>
    <w:rsid w:val="6D7B4310"/>
    <w:rsid w:val="7305329E"/>
    <w:rsid w:val="731C5EA6"/>
    <w:rsid w:val="74DC1EAE"/>
    <w:rsid w:val="75246385"/>
    <w:rsid w:val="7B3D379E"/>
    <w:rsid w:val="7C1C039D"/>
    <w:rsid w:val="7CB40C82"/>
    <w:rsid w:val="7CE4519D"/>
    <w:rsid w:val="7D965A4F"/>
    <w:rsid w:val="7DA55AAD"/>
    <w:rsid w:val="7EEB3B79"/>
    <w:rsid w:val="7F9E18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宋体" w:eastAsia="宋体" w:cs="Times New Roman"/>
      <w:kern w:val="2"/>
      <w:sz w:val="21"/>
      <w:szCs w:val="21"/>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widowControl w:val="0"/>
      <w:ind w:firstLine="480"/>
    </w:pPr>
    <w:rPr>
      <w:rFonts w:ascii="Times New Roman" w:hAnsi="Times New Roman"/>
    </w:rPr>
  </w:style>
  <w:style w:type="paragraph" w:styleId="3">
    <w:name w:val="annotation text"/>
    <w:basedOn w:val="1"/>
    <w:link w:val="23"/>
    <w:semiHidden/>
    <w:unhideWhenUsed/>
    <w:qFormat/>
    <w:uiPriority w:val="99"/>
    <w:pPr>
      <w:jc w:val="left"/>
    </w:pPr>
  </w:style>
  <w:style w:type="paragraph" w:styleId="4">
    <w:name w:val="Body Text"/>
    <w:basedOn w:val="1"/>
    <w:next w:val="5"/>
    <w:link w:val="17"/>
    <w:qFormat/>
    <w:uiPriority w:val="0"/>
    <w:pPr>
      <w:widowControl w:val="0"/>
      <w:spacing w:after="120" w:line="240" w:lineRule="auto"/>
    </w:pPr>
    <w:rPr>
      <w:rFonts w:asciiTheme="minorHAnsi" w:hAnsiTheme="minorHAnsi" w:eastAsiaTheme="minorEastAsia" w:cstheme="minorBidi"/>
      <w:kern w:val="0"/>
      <w:szCs w:val="24"/>
    </w:rPr>
  </w:style>
  <w:style w:type="paragraph" w:styleId="5">
    <w:name w:val="Body Text 2"/>
    <w:basedOn w:val="1"/>
    <w:link w:val="18"/>
    <w:qFormat/>
    <w:uiPriority w:val="0"/>
    <w:pPr>
      <w:widowControl w:val="0"/>
      <w:spacing w:line="240" w:lineRule="auto"/>
      <w:jc w:val="center"/>
    </w:pPr>
    <w:rPr>
      <w:rFonts w:asciiTheme="minorHAnsi" w:hAnsiTheme="minorHAnsi" w:eastAsiaTheme="minorEastAsia" w:cstheme="minorBidi"/>
      <w:kern w:val="0"/>
      <w:szCs w:val="24"/>
    </w:rPr>
  </w:style>
  <w:style w:type="paragraph" w:styleId="6">
    <w:name w:val="Balloon Text"/>
    <w:basedOn w:val="1"/>
    <w:link w:val="25"/>
    <w:semiHidden/>
    <w:unhideWhenUsed/>
    <w:qFormat/>
    <w:uiPriority w:val="99"/>
    <w:pPr>
      <w:spacing w:line="240" w:lineRule="auto"/>
    </w:pPr>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Subtitle"/>
    <w:basedOn w:val="1"/>
    <w:next w:val="1"/>
    <w:link w:val="19"/>
    <w:qFormat/>
    <w:uiPriority w:val="11"/>
    <w:pPr>
      <w:spacing w:before="240" w:after="60" w:line="312" w:lineRule="auto"/>
      <w:jc w:val="left"/>
      <w:outlineLvl w:val="1"/>
    </w:pPr>
    <w:rPr>
      <w:rFonts w:asciiTheme="minorHAnsi" w:hAnsiTheme="minorHAnsi"/>
      <w:b/>
      <w:bCs/>
      <w:kern w:val="28"/>
      <w:sz w:val="24"/>
      <w:szCs w:val="32"/>
    </w:rPr>
  </w:style>
  <w:style w:type="paragraph" w:styleId="10">
    <w:name w:val="annotation subject"/>
    <w:basedOn w:val="3"/>
    <w:next w:val="3"/>
    <w:link w:val="24"/>
    <w:semiHidden/>
    <w:unhideWhenUsed/>
    <w:qFormat/>
    <w:uiPriority w:val="99"/>
    <w:rPr>
      <w:b/>
      <w:bCs/>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character" w:customStyle="1" w:styleId="15">
    <w:name w:val="页眉 Char"/>
    <w:basedOn w:val="13"/>
    <w:link w:val="8"/>
    <w:qFormat/>
    <w:uiPriority w:val="99"/>
    <w:rPr>
      <w:sz w:val="18"/>
      <w:szCs w:val="18"/>
    </w:rPr>
  </w:style>
  <w:style w:type="character" w:customStyle="1" w:styleId="16">
    <w:name w:val="页脚 Char"/>
    <w:basedOn w:val="13"/>
    <w:link w:val="7"/>
    <w:qFormat/>
    <w:uiPriority w:val="99"/>
    <w:rPr>
      <w:sz w:val="18"/>
      <w:szCs w:val="18"/>
    </w:rPr>
  </w:style>
  <w:style w:type="character" w:customStyle="1" w:styleId="17">
    <w:name w:val="正文文本 Char"/>
    <w:basedOn w:val="13"/>
    <w:link w:val="4"/>
    <w:qFormat/>
    <w:uiPriority w:val="0"/>
    <w:rPr>
      <w:kern w:val="0"/>
      <w:szCs w:val="24"/>
    </w:rPr>
  </w:style>
  <w:style w:type="character" w:customStyle="1" w:styleId="18">
    <w:name w:val="正文文本 2 Char"/>
    <w:basedOn w:val="13"/>
    <w:link w:val="5"/>
    <w:qFormat/>
    <w:uiPriority w:val="0"/>
    <w:rPr>
      <w:kern w:val="0"/>
      <w:szCs w:val="24"/>
    </w:rPr>
  </w:style>
  <w:style w:type="character" w:customStyle="1" w:styleId="19">
    <w:name w:val="副标题 Char"/>
    <w:basedOn w:val="13"/>
    <w:link w:val="9"/>
    <w:qFormat/>
    <w:uiPriority w:val="11"/>
    <w:rPr>
      <w:rFonts w:eastAsia="宋体" w:cs="Times New Roman"/>
      <w:b/>
      <w:bCs/>
      <w:kern w:val="28"/>
      <w:sz w:val="24"/>
      <w:szCs w:val="32"/>
    </w:rPr>
  </w:style>
  <w:style w:type="paragraph" w:styleId="20">
    <w:name w:val="List Paragraph"/>
    <w:basedOn w:val="1"/>
    <w:qFormat/>
    <w:uiPriority w:val="34"/>
    <w:pPr>
      <w:ind w:firstLine="420" w:firstLineChars="200"/>
    </w:pPr>
  </w:style>
  <w:style w:type="character" w:customStyle="1" w:styleId="21">
    <w:name w:val="列表段落 字符"/>
    <w:link w:val="22"/>
    <w:qFormat/>
    <w:locked/>
    <w:uiPriority w:val="34"/>
    <w:rPr>
      <w:rFonts w:ascii="DengXian" w:hAnsi="DengXian" w:eastAsia="DengXian"/>
    </w:rPr>
  </w:style>
  <w:style w:type="paragraph" w:customStyle="1" w:styleId="22">
    <w:name w:val="列表段落1"/>
    <w:basedOn w:val="1"/>
    <w:link w:val="21"/>
    <w:qFormat/>
    <w:uiPriority w:val="34"/>
    <w:pPr>
      <w:widowControl w:val="0"/>
      <w:spacing w:line="240" w:lineRule="auto"/>
      <w:ind w:firstLine="420" w:firstLineChars="200"/>
    </w:pPr>
    <w:rPr>
      <w:rFonts w:ascii="DengXian" w:hAnsi="DengXian" w:eastAsia="DengXian" w:cstheme="minorBidi"/>
      <w:szCs w:val="22"/>
    </w:rPr>
  </w:style>
  <w:style w:type="character" w:customStyle="1" w:styleId="23">
    <w:name w:val="批注文字 Char"/>
    <w:basedOn w:val="13"/>
    <w:link w:val="3"/>
    <w:semiHidden/>
    <w:qFormat/>
    <w:uiPriority w:val="99"/>
    <w:rPr>
      <w:rFonts w:ascii="宋体" w:hAnsi="宋体" w:eastAsia="宋体" w:cs="Times New Roman"/>
      <w:kern w:val="2"/>
      <w:sz w:val="21"/>
      <w:szCs w:val="21"/>
    </w:rPr>
  </w:style>
  <w:style w:type="character" w:customStyle="1" w:styleId="24">
    <w:name w:val="批注主题 Char"/>
    <w:basedOn w:val="23"/>
    <w:link w:val="10"/>
    <w:semiHidden/>
    <w:qFormat/>
    <w:uiPriority w:val="99"/>
    <w:rPr>
      <w:rFonts w:ascii="宋体" w:hAnsi="宋体" w:eastAsia="宋体" w:cs="Times New Roman"/>
      <w:b/>
      <w:bCs/>
      <w:kern w:val="2"/>
      <w:sz w:val="21"/>
      <w:szCs w:val="21"/>
    </w:rPr>
  </w:style>
  <w:style w:type="character" w:customStyle="1" w:styleId="25">
    <w:name w:val="批注框文本 Char"/>
    <w:basedOn w:val="13"/>
    <w:link w:val="6"/>
    <w:semiHidden/>
    <w:qFormat/>
    <w:uiPriority w:val="99"/>
    <w:rPr>
      <w:rFonts w:ascii="宋体" w:hAnsi="宋体"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287</Words>
  <Characters>1637</Characters>
  <Lines>13</Lines>
  <Paragraphs>3</Paragraphs>
  <TotalTime>22</TotalTime>
  <ScaleCrop>false</ScaleCrop>
  <LinksUpToDate>false</LinksUpToDate>
  <CharactersWithSpaces>1921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2025-02-12T03:01:00Z</dcterms:created>
  <dc:creator>user</dc:creator>
  <cp:lastModifiedBy>user</cp:lastModifiedBy>
  <cp:lastPrinted>2024-04-28T01:45:00Z</cp:lastPrinted>
  <dcterms:modified xsi:type="dcterms:W3CDTF">2025-04-28T12:28:33Z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B0602450E39447E7A7AA06E16EABC6DB_12</vt:lpwstr>
  </property>
</Properties>
</file>