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100" w:firstLine="420"/>
        <w:rPr>
          <w:rFonts w:ascii="方正小标宋简体" w:hAnsi="微软雅黑" w:eastAsia="方正小标宋简体"/>
          <w:bCs/>
          <w:color w:val="auto"/>
          <w:sz w:val="32"/>
          <w:szCs w:val="32"/>
        </w:rPr>
      </w:pPr>
      <w:r>
        <w:rPr>
          <w:rFonts w:hint="eastAsia" w:ascii="方正小标宋简体" w:hAnsi="微软雅黑" w:eastAsia="方正小标宋简体"/>
          <w:bCs/>
          <w:color w:val="auto"/>
          <w:sz w:val="32"/>
          <w:szCs w:val="32"/>
        </w:rPr>
        <w:t>移动护理文书系统技术要求</w:t>
      </w:r>
    </w:p>
    <w:p>
      <w:pPr>
        <w:widowControl w:val="0"/>
        <w:adjustRightInd w:val="0"/>
        <w:snapToGrid w:val="0"/>
        <w:spacing w:line="320" w:lineRule="exact"/>
        <w:ind w:firstLine="420" w:firstLineChars="200"/>
        <w:rPr>
          <w:rFonts w:ascii="黑体" w:hAnsi="黑体" w:eastAsia="黑体" w:cstheme="minorBidi"/>
          <w:color w:val="auto"/>
        </w:rPr>
      </w:pPr>
      <w:r>
        <w:rPr>
          <w:rFonts w:hint="eastAsia" w:ascii="黑体" w:hAnsi="黑体" w:eastAsia="黑体" w:cstheme="minorBidi"/>
          <w:color w:val="auto"/>
        </w:rPr>
        <w:t>一、简介</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目前，医院有部分护理文书仍主要依赖纸质记录，这种传统方式在实际使用中存在诸多问题。护士手写文书费时费力，容易出错，信息的查询与复用效率低下，同时纸质文书的存储、管理和归档也给病案室带来较大负担。随着医院信息化建设的推进，电子化护理文书已经成为提升护理质量和优化管理流程的重要手段。</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引入护理文书电子化系统，能够有效改善现有的护理文书管理模式。首先，电子文书能确保数据的完整性、安全性和可追溯性，避免纸质文件遗失、损坏或篡改的风险；其次，系统化的存档和检索方式，让病案管理更加便捷高效，减少人工查找和整理的工作量；再者，无纸化办公减少了纸张消耗和存储空间，降低管理成本，也符合环保和可持续发展的理念。同时，电子化护理文书还能促进医院整体信息化水平的提升，与电子病历、移动护理等系统实现互联互通，使护理工作更加智能化和规范化。通过这一系统的建设，医院可以更好地满足行业监管要求，优化护理流程，为患者提供更加优质、安全、高效的医疗服务。</w:t>
      </w:r>
    </w:p>
    <w:p>
      <w:pPr>
        <w:widowControl w:val="0"/>
        <w:adjustRightInd w:val="0"/>
        <w:snapToGrid w:val="0"/>
        <w:spacing w:line="320" w:lineRule="exact"/>
        <w:ind w:firstLine="420" w:firstLineChars="200"/>
        <w:rPr>
          <w:rFonts w:ascii="黑体" w:hAnsi="黑体" w:eastAsia="黑体" w:cstheme="minorBidi"/>
          <w:color w:val="auto"/>
        </w:rPr>
      </w:pPr>
      <w:r>
        <w:rPr>
          <w:rFonts w:hint="eastAsia" w:ascii="黑体" w:hAnsi="黑体" w:eastAsia="黑体" w:cstheme="minorBidi"/>
          <w:color w:val="auto"/>
        </w:rPr>
        <w:t>二、商务要求</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1.供应商或制造商具备相关软件自主知识产权,提供著作权登记证书复印件并加盖公章。</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hAnsiTheme="minorHAnsi" w:cstheme="minorBidi"/>
          <w:color w:val="auto"/>
        </w:rPr>
        <w:t>2</w:t>
      </w:r>
      <w:r>
        <w:rPr>
          <w:rFonts w:hint="eastAsia" w:ascii="仿宋_GB2312" w:eastAsia="仿宋_GB2312" w:hAnsiTheme="minorHAnsi" w:cstheme="minorBidi"/>
          <w:color w:val="auto"/>
        </w:rPr>
        <w:t>.非制造商必须获得产品制造商针对本项目投标的经营授权书。</w:t>
      </w:r>
    </w:p>
    <w:p>
      <w:pPr>
        <w:adjustRightInd w:val="0"/>
        <w:snapToGrid w:val="0"/>
        <w:spacing w:line="320" w:lineRule="exact"/>
        <w:ind w:firstLine="420" w:firstLineChars="200"/>
        <w:jc w:val="left"/>
        <w:rPr>
          <w:rFonts w:ascii="仿宋_GB2312" w:eastAsia="仿宋_GB2312" w:hAnsiTheme="minorHAnsi" w:cstheme="minorBidi"/>
          <w:color w:val="auto"/>
        </w:rPr>
      </w:pPr>
      <w:r>
        <w:rPr>
          <w:rFonts w:ascii="仿宋_GB2312" w:eastAsia="仿宋_GB2312" w:hAnsiTheme="minorHAnsi" w:cstheme="minorBidi"/>
          <w:color w:val="auto"/>
        </w:rPr>
        <w:t>3</w:t>
      </w:r>
      <w:r>
        <w:rPr>
          <w:rFonts w:hint="eastAsia" w:ascii="仿宋_GB2312" w:eastAsia="仿宋_GB2312" w:hAnsiTheme="minorHAnsi" w:cstheme="minorBidi"/>
          <w:color w:val="auto"/>
        </w:rPr>
        <w:t>.验收后提供</w:t>
      </w:r>
      <w:r>
        <w:rPr>
          <w:rFonts w:hint="eastAsia" w:ascii="仿宋_GB2312" w:eastAsia="仿宋_GB2312" w:hAnsiTheme="minorHAnsi" w:cstheme="minorBidi"/>
          <w:color w:val="auto"/>
        </w:rPr>
        <w:t>≥2年免费质保</w:t>
      </w:r>
      <w:r>
        <w:rPr>
          <w:rFonts w:hint="eastAsia" w:ascii="仿宋_GB2312" w:eastAsia="仿宋_GB2312" w:hAnsiTheme="minorHAnsi" w:cstheme="minorBidi"/>
          <w:color w:val="auto"/>
        </w:rPr>
        <w:t>，质保期后每年维保价格≤中标价*10%。</w:t>
      </w:r>
    </w:p>
    <w:p>
      <w:pPr>
        <w:adjustRightInd w:val="0"/>
        <w:snapToGrid w:val="0"/>
        <w:spacing w:line="320" w:lineRule="exact"/>
        <w:ind w:firstLine="420" w:firstLineChars="200"/>
        <w:jc w:val="left"/>
        <w:rPr>
          <w:rFonts w:ascii="仿宋_GB2312" w:eastAsia="仿宋_GB2312" w:hAnsiTheme="minorHAnsi" w:cstheme="minorBidi"/>
          <w:color w:val="auto"/>
        </w:rPr>
      </w:pPr>
      <w:r>
        <w:rPr>
          <w:rFonts w:ascii="仿宋_GB2312" w:eastAsia="仿宋_GB2312" w:hAnsiTheme="minorHAnsi" w:cstheme="minorBidi"/>
          <w:color w:val="auto"/>
        </w:rPr>
        <w:t>4.全产品生命周期内，免费提供7*24小时技术支持服务。质保期内，服务商接到医院有效报修电话后，30 分钟内做出响应。若系统发生重大故障，在电话指导或远程维护4小时内故障不能解决的情况下，服务商承诺维护工程师24小时内到达现场；若系统发生一般性故障（系统基本可以运行，但部分功能受到影响），在电话指导或远程维护24小时内故障不能解决的情况下，服务商承诺维护工程师48小时内到达现场。</w:t>
      </w:r>
    </w:p>
    <w:p>
      <w:pPr>
        <w:adjustRightInd w:val="0"/>
        <w:snapToGrid w:val="0"/>
        <w:spacing w:line="320" w:lineRule="exact"/>
        <w:ind w:firstLine="420" w:firstLineChars="200"/>
        <w:jc w:val="left"/>
        <w:rPr>
          <w:rFonts w:ascii="仿宋_GB2312" w:eastAsia="仿宋_GB2312" w:hAnsiTheme="minorHAnsi" w:cstheme="minorBidi"/>
          <w:color w:val="auto"/>
        </w:rPr>
      </w:pPr>
      <w:r>
        <w:rPr>
          <w:rFonts w:ascii="仿宋_GB2312" w:eastAsia="仿宋_GB2312" w:hAnsiTheme="minorHAnsi" w:cstheme="minorBidi"/>
          <w:color w:val="auto"/>
        </w:rPr>
        <w:t>5</w:t>
      </w:r>
      <w:r>
        <w:rPr>
          <w:rFonts w:hint="eastAsia" w:ascii="仿宋_GB2312" w:eastAsia="仿宋_GB2312" w:hAnsiTheme="minorHAnsi" w:cstheme="minorBidi"/>
          <w:color w:val="auto"/>
        </w:rPr>
        <w:t>.质保期内每年提供不少于2</w:t>
      </w:r>
      <w:r>
        <w:rPr>
          <w:rFonts w:ascii="仿宋_GB2312" w:eastAsia="仿宋_GB2312" w:hAnsiTheme="minorHAnsi" w:cstheme="minorBidi"/>
          <w:color w:val="auto"/>
        </w:rPr>
        <w:t>次定期巡检与系统调优，提供巡检报告，及时排除故障隐患，调优系统性能，使系统始终处于高效率运行状态。</w:t>
      </w:r>
    </w:p>
    <w:p>
      <w:pPr>
        <w:adjustRightInd w:val="0"/>
        <w:snapToGrid w:val="0"/>
        <w:spacing w:line="320" w:lineRule="exact"/>
        <w:ind w:firstLine="420" w:firstLineChars="200"/>
        <w:jc w:val="left"/>
        <w:rPr>
          <w:rFonts w:ascii="仿宋_GB2312" w:eastAsia="仿宋_GB2312" w:hAnsiTheme="minorHAnsi" w:cstheme="minorBidi"/>
          <w:color w:val="auto"/>
        </w:rPr>
      </w:pPr>
      <w:r>
        <w:rPr>
          <w:rFonts w:ascii="仿宋_GB2312" w:eastAsia="仿宋_GB2312" w:hAnsiTheme="minorHAnsi" w:cstheme="minorBidi"/>
          <w:color w:val="auto"/>
        </w:rPr>
        <w:t>6</w:t>
      </w:r>
      <w:r>
        <w:rPr>
          <w:rFonts w:hint="eastAsia" w:ascii="仿宋_GB2312" w:eastAsia="仿宋_GB2312" w:hAnsiTheme="minorHAnsi" w:cstheme="minorBidi"/>
          <w:color w:val="auto"/>
        </w:rPr>
        <w:t>.提供现场免费原厂工程师培训。不少于</w:t>
      </w:r>
      <w:r>
        <w:rPr>
          <w:rFonts w:ascii="仿宋_GB2312" w:eastAsia="仿宋_GB2312" w:hAnsiTheme="minorHAnsi" w:cstheme="minorBidi"/>
          <w:color w:val="auto"/>
        </w:rPr>
        <w:t>2人次现场技术培训，时间不少于5天。包括产品的功能、部署条件、部署步骤和注意事项、产品升级、日常维护事项等方面；服务商在现场根据客户要求提供详细的技术文档，同时提供跟产培训。</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hAnsiTheme="minorHAnsi" w:cstheme="minorBidi"/>
          <w:color w:val="auto"/>
        </w:rPr>
        <w:t>7</w:t>
      </w:r>
      <w:r>
        <w:rPr>
          <w:rFonts w:hint="eastAsia" w:ascii="仿宋_GB2312" w:eastAsia="仿宋_GB2312" w:hAnsiTheme="minorHAnsi" w:cstheme="minorBidi"/>
          <w:color w:val="auto"/>
        </w:rPr>
        <w:t>.软件不允许有授权注</w:t>
      </w:r>
      <w:bookmarkStart w:id="0" w:name="_GoBack"/>
      <w:bookmarkEnd w:id="0"/>
      <w:r>
        <w:rPr>
          <w:rFonts w:hint="eastAsia" w:ascii="仿宋_GB2312" w:eastAsia="仿宋_GB2312" w:hAnsiTheme="minorHAnsi" w:cstheme="minorBidi"/>
          <w:color w:val="auto"/>
        </w:rPr>
        <w:t>册限制，开放永久使用权（医院不再购买维保服务时，不影响已有功能的使用），提供承诺书。</w:t>
      </w:r>
    </w:p>
    <w:p>
      <w:pPr>
        <w:adjustRightInd w:val="0"/>
        <w:snapToGrid w:val="0"/>
        <w:spacing w:line="320" w:lineRule="exact"/>
        <w:ind w:firstLine="420" w:firstLineChars="200"/>
        <w:jc w:val="left"/>
        <w:rPr>
          <w:rFonts w:ascii="仿宋_GB2312" w:eastAsia="仿宋_GB2312" w:hAnsiTheme="minorHAnsi" w:cstheme="minorBidi"/>
          <w:color w:val="auto"/>
        </w:rPr>
      </w:pPr>
      <w:r>
        <w:rPr>
          <w:rFonts w:ascii="仿宋_GB2312" w:eastAsia="仿宋_GB2312" w:hAnsiTheme="minorHAnsi" w:cstheme="minorBidi"/>
          <w:color w:val="auto"/>
        </w:rPr>
        <w:t>8</w:t>
      </w:r>
      <w:r>
        <w:rPr>
          <w:rFonts w:hint="eastAsia" w:ascii="仿宋_GB2312" w:eastAsia="仿宋_GB2312" w:hAnsiTheme="minorHAnsi" w:cstheme="minorBidi"/>
          <w:color w:val="auto"/>
        </w:rPr>
        <w:t>.本项目为交钥匙工程，投标供应商报价必须包含该项目能投入正常使用及免费服务期内的所有费用。</w:t>
      </w:r>
    </w:p>
    <w:p>
      <w:pPr>
        <w:adjustRightInd w:val="0"/>
        <w:snapToGrid w:val="0"/>
        <w:spacing w:line="320" w:lineRule="exact"/>
        <w:ind w:firstLine="420" w:firstLineChars="200"/>
        <w:jc w:val="left"/>
        <w:rPr>
          <w:rFonts w:ascii="仿宋_GB2312" w:eastAsia="仿宋_GB2312" w:hAnsiTheme="minorHAnsi" w:cstheme="minorBidi"/>
          <w:color w:val="auto"/>
        </w:rPr>
      </w:pPr>
      <w:r>
        <w:rPr>
          <w:rFonts w:ascii="仿宋_GB2312" w:eastAsia="仿宋_GB2312"/>
          <w:color w:val="auto"/>
        </w:rPr>
        <w:t>9</w:t>
      </w:r>
      <w:r>
        <w:rPr>
          <w:rFonts w:hint="eastAsia" w:ascii="仿宋_GB2312" w:eastAsia="仿宋_GB2312"/>
          <w:color w:val="auto"/>
        </w:rPr>
        <w:t>.采购人不再负责所有接口对接、设备费、施工费、技术支持、维护服务费、培训费、安装调试、税费等在内的所有价款，供应商免费实施并配合完成该系统与院内系统的对接。</w:t>
      </w:r>
    </w:p>
    <w:p>
      <w:pPr>
        <w:adjustRightInd w:val="0"/>
        <w:snapToGrid w:val="0"/>
        <w:spacing w:line="320" w:lineRule="exact"/>
        <w:ind w:firstLine="420" w:firstLineChars="200"/>
        <w:jc w:val="left"/>
        <w:rPr>
          <w:rFonts w:ascii="仿宋_GB2312" w:eastAsia="仿宋_GB2312"/>
          <w:color w:val="auto"/>
        </w:rPr>
      </w:pPr>
      <w:r>
        <w:rPr>
          <w:rFonts w:ascii="仿宋_GB2312" w:eastAsia="仿宋_GB2312"/>
          <w:color w:val="auto"/>
        </w:rPr>
        <w:t>10</w:t>
      </w:r>
      <w:r>
        <w:rPr>
          <w:rFonts w:hint="eastAsia" w:ascii="仿宋_GB2312" w:eastAsia="仿宋_GB2312"/>
          <w:color w:val="auto"/>
        </w:rPr>
        <w:t>.项目持续改造对于后续升级改造可能存在供应商以单一来源方式承担后续任务，供应商应给出价格优惠，总金额不得超过原项目招标控制价的50%。</w:t>
      </w:r>
    </w:p>
    <w:p>
      <w:pPr>
        <w:widowControl w:val="0"/>
        <w:adjustRightInd w:val="0"/>
        <w:snapToGrid w:val="0"/>
        <w:spacing w:line="320" w:lineRule="exact"/>
        <w:ind w:firstLine="420" w:firstLineChars="200"/>
        <w:rPr>
          <w:rFonts w:ascii="黑体" w:hAnsi="黑体" w:eastAsia="黑体" w:cstheme="minorBidi"/>
          <w:color w:val="auto"/>
        </w:rPr>
      </w:pPr>
      <w:r>
        <w:rPr>
          <w:rFonts w:hint="eastAsia" w:ascii="黑体" w:hAnsi="黑体" w:eastAsia="黑体" w:cstheme="minorBidi"/>
          <w:color w:val="auto"/>
        </w:rPr>
        <w:t>三、技术要求</w:t>
      </w:r>
    </w:p>
    <w:p>
      <w:pPr>
        <w:widowControl w:val="0"/>
        <w:adjustRightInd w:val="0"/>
        <w:snapToGrid w:val="0"/>
        <w:spacing w:line="320" w:lineRule="exact"/>
        <w:ind w:firstLine="420" w:firstLineChars="200"/>
        <w:rPr>
          <w:rFonts w:ascii="楷体_GB2312" w:eastAsia="楷体_GB2312" w:hAnsiTheme="minorHAnsi" w:cstheme="minorBidi"/>
          <w:color w:val="auto"/>
        </w:rPr>
      </w:pPr>
      <w:r>
        <w:rPr>
          <w:rFonts w:hint="eastAsia" w:ascii="楷体_GB2312" w:eastAsia="楷体_GB2312" w:hAnsiTheme="minorHAnsi" w:cstheme="minorBidi"/>
          <w:color w:val="auto"/>
        </w:rPr>
        <w:t>（一）部署环境要求</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1.数据库要求</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hAnsiTheme="minorHAnsi" w:cstheme="minorBidi"/>
          <w:color w:val="auto"/>
        </w:rPr>
        <w:t>支持</w:t>
      </w:r>
      <w:r>
        <w:rPr>
          <w:rFonts w:hint="eastAsia" w:ascii="仿宋_GB2312" w:eastAsia="仿宋_GB2312" w:hAnsiTheme="minorHAnsi" w:cstheme="minorBidi"/>
          <w:color w:val="auto"/>
        </w:rPr>
        <w:t>SQLServer或Oracle</w:t>
      </w:r>
      <w:r>
        <w:rPr>
          <w:rFonts w:ascii="仿宋_GB2312" w:eastAsia="仿宋_GB2312" w:hAnsiTheme="minorHAnsi" w:cstheme="minorBidi"/>
          <w:color w:val="auto"/>
        </w:rPr>
        <w:t>数据库</w:t>
      </w:r>
      <w:r>
        <w:rPr>
          <w:rFonts w:hint="eastAsia" w:ascii="仿宋_GB2312" w:eastAsia="仿宋_GB2312" w:hAnsiTheme="minorHAnsi" w:cstheme="minorBidi"/>
          <w:color w:val="auto"/>
          <w:lang w:eastAsia="zh-CN"/>
        </w:rPr>
        <w:t>，</w:t>
      </w:r>
      <w:r>
        <w:rPr>
          <w:rFonts w:hint="eastAsia" w:ascii="仿宋_GB2312" w:eastAsia="仿宋_GB2312"/>
          <w:color w:val="auto"/>
        </w:rPr>
        <w:t>要求未来支持将本系统的数据库迁移到国产操作系统上并使用国产数据库，数据库包括但不限于金仓数据库管理系统v7.2以上、神通数据库管理系统、达梦数据库管理系统v8.1.1、瀚高数据库系统v4.3.5、优炫数据库管理系统等国产化数据库系统，提供承诺函。</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2.应用服务器环境部署要求</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1）应用服务支持windows/Linux环境下部署，支持未来将应用服务部署于国产自主可控服务器及国产自主可控操作系统，包括但不限于中标麒麟、绿地服务器操作系统、麒麟信安服务器操作系统、银河麒麟服务器操作系统、普华服务器操作系统，提供承诺函。</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2）客户端支持windows和国产自主可控操作下部署，因医院业务系统及运行环境国产化整体推进规划，要求未来支持将本系统的应用迁移到国产自主可控操作系统，包括但不限于银河麒麟桌面操作系统v10、统信桌面操作系统v20、中标麒麟桌面操作系统v7.0等国产化操作系统，提供承诺函。</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3.系统架构要求</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（1）模块设计，方便流程再造。</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（2）数据库端参数化设计，方便个性化设置。</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4.提供本系统与HIS/EMRS对接完整方案（如接口文档、视图数据结构）并严格按照方案实施，包含获取患者基本信息接口，获取患者体征接口，获取护理文书信息接口。</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5.</w:t>
      </w:r>
      <w:r>
        <w:rPr>
          <w:rFonts w:hint="eastAsia" w:ascii="仿宋_GB2312" w:eastAsia="仿宋_GB2312"/>
          <w:color w:val="auto"/>
        </w:rPr>
        <w:t>系统部署要求</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w:t>
      </w:r>
      <w:r>
        <w:rPr>
          <w:rFonts w:ascii="仿宋_GB2312" w:eastAsia="仿宋_GB2312" w:hAnsiTheme="minorHAnsi" w:cstheme="minorBidi"/>
          <w:color w:val="auto"/>
        </w:rPr>
        <w:t>1</w:t>
      </w:r>
      <w:r>
        <w:rPr>
          <w:rFonts w:hint="eastAsia" w:ascii="仿宋_GB2312" w:eastAsia="仿宋_GB2312" w:hAnsiTheme="minorHAnsi" w:cstheme="minorBidi"/>
          <w:color w:val="auto"/>
        </w:rPr>
        <w:t>）</w:t>
      </w:r>
      <w:r>
        <w:rPr>
          <w:rFonts w:hint="eastAsia" w:ascii="仿宋_GB2312" w:eastAsia="仿宋_GB2312"/>
          <w:color w:val="auto"/>
        </w:rPr>
        <w:t>根据医院数字签名系统要求，提供对系统登录模块、报告模块的CA改造</w:t>
      </w:r>
      <w:r>
        <w:rPr>
          <w:rFonts w:hint="eastAsia" w:ascii="仿宋_GB2312" w:eastAsia="仿宋_GB2312" w:hAnsiTheme="minorHAnsi" w:cstheme="minorBidi"/>
          <w:color w:val="auto"/>
        </w:rPr>
        <w:t>。</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w:t>
      </w:r>
      <w:r>
        <w:rPr>
          <w:rFonts w:ascii="仿宋_GB2312" w:eastAsia="仿宋_GB2312" w:hAnsiTheme="minorHAnsi" w:cstheme="minorBidi"/>
          <w:color w:val="auto"/>
        </w:rPr>
        <w:t>2</w:t>
      </w:r>
      <w:r>
        <w:rPr>
          <w:rFonts w:hint="eastAsia" w:ascii="仿宋_GB2312" w:eastAsia="仿宋_GB2312" w:hAnsiTheme="minorHAnsi" w:cstheme="minorBidi"/>
          <w:color w:val="auto"/>
        </w:rPr>
        <w:t>）支持在不依赖二次开发的情况下，实现对护理文书模板、不良事件的流程分支进行定制化改造。</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w:t>
      </w:r>
      <w:r>
        <w:rPr>
          <w:rFonts w:ascii="仿宋_GB2312" w:eastAsia="仿宋_GB2312" w:hAnsiTheme="minorHAnsi" w:cstheme="minorBidi"/>
          <w:color w:val="auto"/>
        </w:rPr>
        <w:t>3</w:t>
      </w:r>
      <w:r>
        <w:rPr>
          <w:rFonts w:hint="eastAsia" w:ascii="仿宋_GB2312" w:eastAsia="仿宋_GB2312" w:hAnsiTheme="minorHAnsi" w:cstheme="minorBidi"/>
          <w:color w:val="auto"/>
        </w:rPr>
        <w:t>）与HIS（医院信息管理系统）等信息系统进行集成，实现院内数据与信息的多方共享。</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w:t>
      </w:r>
      <w:r>
        <w:rPr>
          <w:rFonts w:ascii="仿宋_GB2312" w:eastAsia="仿宋_GB2312" w:hAnsiTheme="minorHAnsi" w:cstheme="minorBidi"/>
          <w:color w:val="auto"/>
        </w:rPr>
        <w:t>4</w:t>
      </w:r>
      <w:r>
        <w:rPr>
          <w:rFonts w:hint="eastAsia" w:ascii="仿宋_GB2312" w:eastAsia="仿宋_GB2312" w:hAnsiTheme="minorHAnsi" w:cstheme="minorBidi"/>
          <w:color w:val="auto"/>
        </w:rPr>
        <w:t>）提供系统的原始数据结构文档、</w:t>
      </w:r>
      <w:r>
        <w:rPr>
          <w:rFonts w:hint="eastAsia" w:ascii="仿宋_GB2312" w:eastAsia="仿宋_GB2312"/>
          <w:color w:val="auto"/>
        </w:rPr>
        <w:t>系统部署文件包、系统部署操作手册、系统操作使用手册、常见问题的解决手册及其他相关文档。</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w:t>
      </w:r>
      <w:r>
        <w:rPr>
          <w:rFonts w:ascii="仿宋_GB2312" w:eastAsia="仿宋_GB2312" w:hAnsiTheme="minorHAnsi" w:cstheme="minorBidi"/>
          <w:color w:val="auto"/>
        </w:rPr>
        <w:t>5</w:t>
      </w:r>
      <w:r>
        <w:rPr>
          <w:rFonts w:hint="eastAsia" w:ascii="仿宋_GB2312" w:eastAsia="仿宋_GB2312" w:hAnsiTheme="minorHAnsi" w:cstheme="minorBidi"/>
          <w:color w:val="auto"/>
        </w:rPr>
        <w:t>）客户端驱动，应用环境，业务程序部署便捷，采用向导式安装，参数设置可视化，可保存为模板，方便复用。</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w:t>
      </w:r>
      <w:r>
        <w:rPr>
          <w:rFonts w:ascii="仿宋_GB2312" w:eastAsia="仿宋_GB2312" w:hAnsiTheme="minorHAnsi" w:cstheme="minorBidi"/>
          <w:color w:val="auto"/>
        </w:rPr>
        <w:t>6</w:t>
      </w:r>
      <w:r>
        <w:rPr>
          <w:rFonts w:hint="eastAsia" w:ascii="仿宋_GB2312" w:eastAsia="仿宋_GB2312" w:hAnsiTheme="minorHAnsi" w:cstheme="minorBidi"/>
          <w:color w:val="auto"/>
        </w:rPr>
        <w:t>）提供驻场实施，实施过程中需完成所有基础数据的录入</w:t>
      </w:r>
      <w:r>
        <w:rPr>
          <w:rFonts w:ascii="仿宋_GB2312" w:eastAsia="仿宋_GB2312" w:hAnsiTheme="minorHAnsi" w:cstheme="minorBidi"/>
          <w:color w:val="auto"/>
        </w:rPr>
        <w:t>。</w:t>
      </w:r>
    </w:p>
    <w:p>
      <w:pPr>
        <w:widowControl w:val="0"/>
        <w:adjustRightInd w:val="0"/>
        <w:snapToGrid w:val="0"/>
        <w:spacing w:line="320" w:lineRule="exact"/>
        <w:ind w:firstLine="420" w:firstLineChars="200"/>
        <w:rPr>
          <w:rFonts w:ascii="仿宋_GB2312" w:eastAsia="仿宋_GB2312" w:hAnsiTheme="minorHAnsi" w:cstheme="minorBidi"/>
          <w:strike/>
          <w:color w:val="auto"/>
        </w:rPr>
      </w:pPr>
      <w:r>
        <w:rPr>
          <w:rFonts w:hint="eastAsia" w:ascii="仿宋_GB2312" w:eastAsia="仿宋_GB2312" w:hAnsiTheme="minorHAnsi" w:cstheme="minorBidi"/>
          <w:color w:val="auto"/>
        </w:rPr>
        <w:t>6.客户端部署要求</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客户端应能够同时支持电脑端和安卓（或华为）设备上稳定运行，支持的系统格式需涵盖当前市场上的主要版本，并针对不同设备的硬件特性进行优化。</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（1）操作系统版本：应用程序需兼容</w:t>
      </w:r>
      <w:r>
        <w:rPr>
          <w:rFonts w:ascii="仿宋_GB2312" w:eastAsia="仿宋_GB2312" w:hAnsiTheme="minorHAnsi" w:cstheme="minorBidi"/>
          <w:color w:val="auto"/>
        </w:rPr>
        <w:t>Android操作系统版本6.0</w:t>
      </w:r>
      <w:r>
        <w:rPr>
          <w:rFonts w:ascii="仿宋_GB2312" w:eastAsia="仿宋_GB2312" w:hAnsiTheme="minorHAnsi" w:cstheme="minorBidi"/>
          <w:color w:val="auto"/>
        </w:rPr>
        <w:t>（Marshmallow）及以上。考虑到Android系统的碎片化特性，理想情况下应支持至最新的几个大版本（如Android 11、12乃至后续版本）</w:t>
      </w:r>
      <w:r>
        <w:rPr>
          <w:rFonts w:hint="eastAsia" w:ascii="仿宋_GB2312" w:eastAsia="仿宋_GB2312" w:hAnsiTheme="minorHAnsi" w:cstheme="minorBidi"/>
          <w:color w:val="auto"/>
        </w:rPr>
        <w:t>，</w:t>
      </w:r>
      <w:r>
        <w:rPr>
          <w:rFonts w:ascii="仿宋_GB2312" w:eastAsia="仿宋_GB2312" w:hAnsiTheme="minorHAnsi" w:cstheme="minorBidi"/>
          <w:color w:val="auto"/>
        </w:rPr>
        <w:t>以覆盖更广泛的用户群体。</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ascii="仿宋_GB2312" w:eastAsia="仿宋_GB2312" w:hAnsiTheme="minorHAnsi" w:cstheme="minorBidi"/>
          <w:color w:val="auto"/>
        </w:rPr>
        <w:t>（</w:t>
      </w:r>
      <w:r>
        <w:rPr>
          <w:rFonts w:hint="eastAsia" w:ascii="仿宋_GB2312" w:eastAsia="仿宋_GB2312" w:hAnsiTheme="minorHAnsi" w:cstheme="minorBidi"/>
          <w:color w:val="auto"/>
        </w:rPr>
        <w:t>2</w:t>
      </w:r>
      <w:r>
        <w:rPr>
          <w:rFonts w:ascii="仿宋_GB2312" w:eastAsia="仿宋_GB2312" w:hAnsiTheme="minorHAnsi" w:cstheme="minorBidi"/>
          <w:color w:val="auto"/>
        </w:rPr>
        <w:t>）</w:t>
      </w:r>
      <w:r>
        <w:rPr>
          <w:rFonts w:hint="eastAsia" w:ascii="仿宋_GB2312" w:eastAsia="仿宋_GB2312" w:hAnsiTheme="minorHAnsi" w:cstheme="minorBidi"/>
          <w:color w:val="auto"/>
        </w:rPr>
        <w:t>屏幕适配：支持多种屏幕尺寸和分辨率，包括但不限于</w:t>
      </w:r>
      <w:r>
        <w:rPr>
          <w:rFonts w:ascii="仿宋_GB2312" w:eastAsia="仿宋_GB2312" w:hAnsiTheme="minorHAnsi" w:cstheme="minorBidi"/>
          <w:color w:val="auto"/>
        </w:rPr>
        <w:t>HD、FHD、QHD以及折叠屏设备，</w:t>
      </w:r>
      <w:r>
        <w:rPr>
          <w:rFonts w:ascii="仿宋_GB2312" w:eastAsia="仿宋_GB2312" w:hAnsiTheme="minorHAnsi" w:cstheme="minorBidi"/>
          <w:color w:val="auto"/>
        </w:rPr>
        <w:t>采用自适应UI设计</w:t>
      </w:r>
      <w:r>
        <w:rPr>
          <w:rFonts w:ascii="仿宋_GB2312" w:eastAsia="仿宋_GB2312" w:hAnsiTheme="minorHAnsi" w:cstheme="minorBidi"/>
          <w:color w:val="auto"/>
        </w:rPr>
        <w:t>，确保在不同设备上都能提供良好的视觉体验。</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（3）硬件要求：考虑到性能需求，客户端应能在搭载至少</w:t>
      </w:r>
      <w:r>
        <w:rPr>
          <w:rFonts w:ascii="仿宋_GB2312" w:eastAsia="仿宋_GB2312" w:hAnsiTheme="minorHAnsi" w:cstheme="minorBidi"/>
          <w:color w:val="auto"/>
        </w:rPr>
        <w:t>1.5GB RAM和1.5GHz双核处理器的设备上流畅运行，同时优化对高配置设备的利用，如利用GPU加速图形处理。</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（4）权限管理：遵循</w:t>
      </w:r>
      <w:r>
        <w:rPr>
          <w:rFonts w:ascii="仿宋_GB2312" w:eastAsia="仿宋_GB2312" w:hAnsiTheme="minorHAnsi" w:cstheme="minorBidi"/>
          <w:color w:val="auto"/>
        </w:rPr>
        <w:t>Android的权限模型，明确申请所需权限（如存储、位置、相机等），并确保在Android 6.0及以上版本中</w:t>
      </w:r>
      <w:r>
        <w:rPr>
          <w:rFonts w:hint="eastAsia" w:ascii="仿宋_GB2312" w:eastAsia="仿宋_GB2312" w:hAnsiTheme="minorHAnsi" w:cstheme="minorBidi"/>
          <w:color w:val="auto"/>
        </w:rPr>
        <w:t>动态</w:t>
      </w:r>
      <w:r>
        <w:rPr>
          <w:rFonts w:ascii="仿宋_GB2312" w:eastAsia="仿宋_GB2312" w:hAnsiTheme="minorHAnsi" w:cstheme="minorBidi"/>
          <w:color w:val="auto"/>
        </w:rPr>
        <w:t>请求敏感权限。</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（5）华为设备特别考虑：考虑到华为部分设备已升级至</w:t>
      </w:r>
      <w:r>
        <w:rPr>
          <w:rFonts w:ascii="仿宋_GB2312" w:eastAsia="仿宋_GB2312" w:hAnsiTheme="minorHAnsi" w:cstheme="minorBidi"/>
          <w:color w:val="auto"/>
        </w:rPr>
        <w:t>HarmonyOS（鸿蒙操作系统），客户端应测试并确保与鸿蒙OS的兼容性，特别是对于华为用户群较大的市场。</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（6）网络要求：客户端应能</w:t>
      </w:r>
      <w:r>
        <w:rPr>
          <w:rFonts w:hint="eastAsia" w:ascii="仿宋_GB2312" w:eastAsia="仿宋_GB2312" w:hAnsiTheme="minorHAnsi" w:cstheme="minorBidi"/>
          <w:color w:val="auto"/>
        </w:rPr>
        <w:t>够在使用移动网络或者wifi使用该应</w:t>
      </w:r>
      <w:r>
        <w:rPr>
          <w:rFonts w:hint="eastAsia" w:ascii="仿宋_GB2312" w:eastAsia="仿宋_GB2312" w:hAnsiTheme="minorHAnsi" w:cstheme="minorBidi"/>
          <w:color w:val="auto"/>
        </w:rPr>
        <w:t>用程序。</w:t>
      </w:r>
    </w:p>
    <w:p>
      <w:pPr>
        <w:widowControl w:val="0"/>
        <w:adjustRightInd w:val="0"/>
        <w:snapToGrid w:val="0"/>
        <w:spacing w:line="320" w:lineRule="exact"/>
        <w:ind w:firstLine="420" w:firstLineChars="200"/>
        <w:rPr>
          <w:rFonts w:ascii="楷体_GB2312" w:eastAsia="楷体_GB2312" w:hAnsiTheme="minorHAnsi" w:cstheme="minorBidi"/>
          <w:color w:val="auto"/>
        </w:rPr>
      </w:pPr>
      <w:r>
        <w:rPr>
          <w:rFonts w:hint="eastAsia" w:ascii="楷体_GB2312" w:eastAsia="楷体_GB2312" w:hAnsiTheme="minorHAnsi" w:cstheme="minorBidi"/>
          <w:color w:val="auto"/>
        </w:rPr>
        <w:t>（二）系统功能</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1.统一账户登录</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（1）支持登录账号与院内系统相同账户密码登录，HIS</w:t>
      </w:r>
      <w:r>
        <w:rPr>
          <w:rFonts w:ascii="仿宋_GB2312" w:eastAsia="仿宋_GB2312" w:hAnsiTheme="minorHAnsi" w:cstheme="minorBidi"/>
          <w:color w:val="auto"/>
        </w:rPr>
        <w:t>权限互通，保持与</w:t>
      </w:r>
      <w:r>
        <w:rPr>
          <w:rFonts w:hint="eastAsia" w:ascii="仿宋_GB2312" w:eastAsia="仿宋_GB2312" w:hAnsiTheme="minorHAnsi" w:cstheme="minorBidi"/>
          <w:color w:val="auto"/>
        </w:rPr>
        <w:t>EMRS医生</w:t>
      </w:r>
      <w:r>
        <w:rPr>
          <w:rFonts w:ascii="仿宋_GB2312" w:eastAsia="仿宋_GB2312" w:hAnsiTheme="minorHAnsi" w:cstheme="minorBidi"/>
          <w:color w:val="auto"/>
        </w:rPr>
        <w:t>工作站相同的用户名密码。</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（2）</w:t>
      </w:r>
      <w:r>
        <w:rPr>
          <w:rFonts w:ascii="仿宋_GB2312" w:eastAsia="仿宋_GB2312" w:hAnsiTheme="minorHAnsi" w:cstheme="minorBidi"/>
          <w:color w:val="auto"/>
        </w:rPr>
        <w:t>采取与院内相同的角色权限机制，不同角色的用户登录首页，配置不同的功能菜单入口。</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（3）</w:t>
      </w:r>
      <w:r>
        <w:rPr>
          <w:rFonts w:ascii="仿宋_GB2312" w:eastAsia="仿宋_GB2312" w:hAnsiTheme="minorHAnsi" w:cstheme="minorBidi"/>
          <w:color w:val="auto"/>
        </w:rPr>
        <w:t>首页支持配置式功能菜单，</w:t>
      </w:r>
      <w:r>
        <w:rPr>
          <w:rFonts w:hint="eastAsia" w:ascii="仿宋_GB2312" w:eastAsia="仿宋_GB2312" w:hAnsiTheme="minorHAnsi" w:cstheme="minorBidi"/>
          <w:color w:val="auto"/>
        </w:rPr>
        <w:t>支持用户</w:t>
      </w:r>
      <w:r>
        <w:rPr>
          <w:rFonts w:ascii="仿宋_GB2312" w:eastAsia="仿宋_GB2312" w:hAnsiTheme="minorHAnsi" w:cstheme="minorBidi"/>
          <w:color w:val="auto"/>
        </w:rPr>
        <w:t>在</w:t>
      </w:r>
      <w:r>
        <w:rPr>
          <w:rFonts w:hint="eastAsia" w:ascii="仿宋_GB2312" w:eastAsia="仿宋_GB2312" w:hAnsiTheme="minorHAnsi" w:cstheme="minorBidi"/>
          <w:color w:val="auto"/>
        </w:rPr>
        <w:t>系统</w:t>
      </w:r>
      <w:r>
        <w:rPr>
          <w:rFonts w:ascii="仿宋_GB2312" w:eastAsia="仿宋_GB2312" w:hAnsiTheme="minorHAnsi" w:cstheme="minorBidi"/>
          <w:color w:val="auto"/>
        </w:rPr>
        <w:t>首页</w:t>
      </w:r>
      <w:r>
        <w:rPr>
          <w:rFonts w:hint="eastAsia" w:ascii="仿宋_GB2312" w:eastAsia="仿宋_GB2312" w:hAnsiTheme="minorHAnsi" w:cstheme="minorBidi"/>
          <w:color w:val="auto"/>
        </w:rPr>
        <w:t>自行</w:t>
      </w:r>
      <w:r>
        <w:rPr>
          <w:rFonts w:ascii="仿宋_GB2312" w:eastAsia="仿宋_GB2312" w:hAnsiTheme="minorHAnsi" w:cstheme="minorBidi"/>
          <w:color w:val="auto"/>
        </w:rPr>
        <w:t>配置所需功能设置。</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（4）支持管理系统中自动同步HIS人员、科室。</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2.护理文书模块</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（1）支持多种护理文书模板的配置和定制，定制数量不少于30种。</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（2）平板端提供触控优化的录入界面，支持手写输入（如签名）。</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（3）电脑端提供键盘快捷输入、模板选择及批量录入功能。</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3.质量检查模块</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（1）支持院感控制管理护理质量检查、急救药械质量检查、在院护理文书质量检查、护理质量与安全管理质量检查、分级护理质量检查、护士长绩效质量检查。</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（2）支持科级质量检查，护士长可对科室进行质量自查。</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（3）支持院级质量检查，护理部可组建质控小组，对选定的质控片区进行检查任务安排，各科室护士长对检查进行确认、整改。</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（4）支持统计分析，对人员、科室、时间、检查项等维度进行统计分析。</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4.不良事件模块</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（1）提供快捷的事件报告入口，可通过电脑端或移动端进行事件录入。</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（2）填报人可自动生成签名，签名来自HIS，支持CA认证并提供接入服务。</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（3）支持不同的节点操作者配置不同的权限。</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5.敏感指标模块</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1）支持录入院方提供的敏感指标，包括但不限于气管导管非计划拔管率、CVC非计划拔管率、PICC非计划拔管率、导尿管非计划拔管率、胃肠管(经口鼻)非计划拔管率、置管患者非计划拔管发生率、CVC相关血流感染发生率、PICC相关血流感染发生率、住院患者跌倒发生率、住院患者2期及以上院内压力性损伤(包括粘膜压力性损伤)发生率、住院患者院内压力性损伤(包括粘膜压力性损伤)发生率、住院手术患者术中压力性损伤发生率、血液透析导管相关血流感染发生率、急救物品完好率、物品、器械消毒/灭菌合格率、物品消毒合格率、给药技术正确率、分级护理合格率、护理文书合格率。支持根据国家级、市级质量控制检查的要求及院级需求添加新的指标。</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（2）支持敏感指标录入自动化，可从HIS、不良事件、护理文书中自动提取敏感指标数据，在院方可提供数据的前提下，可以做到90%以上的数据自动化录入。</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（3）支持敏感指标数据统计，包括时间、科室等。</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6</w:t>
      </w:r>
      <w:r>
        <w:rPr>
          <w:rFonts w:ascii="仿宋_GB2312" w:eastAsia="仿宋_GB2312" w:hAnsiTheme="minorHAnsi" w:cstheme="minorBidi"/>
          <w:color w:val="auto"/>
        </w:rPr>
        <w:t>.</w:t>
      </w:r>
      <w:r>
        <w:rPr>
          <w:rFonts w:hint="eastAsia" w:ascii="仿宋_GB2312" w:eastAsia="仿宋_GB2312" w:hAnsiTheme="minorHAnsi" w:cstheme="minorBidi"/>
          <w:color w:val="auto"/>
        </w:rPr>
        <w:t>排班模块</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（1）支持科室排班功能，护士长可手动对本科室护理人员进行排班，也可参考上周排班进行批量排班</w:t>
      </w:r>
      <w:r>
        <w:rPr>
          <w:rFonts w:ascii="仿宋_GB2312" w:eastAsia="仿宋_GB2312" w:hAnsiTheme="minorHAnsi" w:cstheme="minorBidi"/>
          <w:color w:val="auto"/>
        </w:rPr>
        <w:t>。</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（2）支持对护士累计的存假进行按天或小时计算。</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（3）支持多维度的排班统计，包括值班类型、时间等</w:t>
      </w:r>
      <w:r>
        <w:rPr>
          <w:rFonts w:ascii="仿宋_GB2312" w:eastAsia="仿宋_GB2312" w:hAnsiTheme="minorHAnsi" w:cstheme="minorBidi"/>
          <w:color w:val="auto"/>
        </w:rPr>
        <w:t>。</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（4）支持显示排班未达标人员，达标标准由院方确定。</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7.移动护理模块</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（1）PDA使用移动护理系统</w:t>
      </w:r>
      <w:r>
        <w:rPr>
          <w:rFonts w:ascii="仿宋_GB2312" w:eastAsia="仿宋_GB2312" w:hAnsiTheme="minorHAnsi" w:cstheme="minorBidi"/>
          <w:color w:val="auto"/>
        </w:rPr>
        <w:t>时</w:t>
      </w:r>
      <w:r>
        <w:rPr>
          <w:rFonts w:hint="eastAsia" w:ascii="仿宋_GB2312" w:eastAsia="仿宋_GB2312" w:hAnsiTheme="minorHAnsi" w:cstheme="minorBidi"/>
          <w:color w:val="auto"/>
        </w:rPr>
        <w:t>，若无法联网，应提示用户并有重连机制。</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（2）支持两袋以上的输液功能。</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（3）支持按照院方的规则，打印临时医嘱条码</w:t>
      </w:r>
      <w:r>
        <w:rPr>
          <w:rFonts w:ascii="仿宋_GB2312" w:eastAsia="仿宋_GB2312" w:hAnsiTheme="minorHAnsi" w:cstheme="minorBidi"/>
          <w:color w:val="auto"/>
        </w:rPr>
        <w:t>。</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（4）可提供接口，供其他系统使用。（如提供血糖执行接口，调用后生成血糖执行记录）</w:t>
      </w:r>
      <w:r>
        <w:rPr>
          <w:rFonts w:ascii="仿宋_GB2312" w:eastAsia="仿宋_GB2312" w:hAnsiTheme="minorHAnsi" w:cstheme="minorBidi"/>
          <w:color w:val="auto"/>
        </w:rPr>
        <w:t>。</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（5）对未执行的医嘱，支持推送到PDA、电脑端进行提醒</w:t>
      </w:r>
      <w:r>
        <w:rPr>
          <w:rFonts w:ascii="仿宋_GB2312" w:eastAsia="仿宋_GB2312" w:hAnsiTheme="minorHAnsi" w:cstheme="minorBidi"/>
          <w:color w:val="auto"/>
        </w:rPr>
        <w:t>。</w:t>
      </w:r>
    </w:p>
    <w:p>
      <w:pPr>
        <w:widowControl w:val="0"/>
        <w:adjustRightInd w:val="0"/>
        <w:snapToGrid w:val="0"/>
        <w:spacing w:line="320" w:lineRule="exact"/>
        <w:ind w:firstLine="420" w:firstLineChars="200"/>
        <w:rPr>
          <w:rFonts w:ascii="仿宋_GB2312" w:eastAsia="仿宋_GB2312" w:hAnsiTheme="minorHAnsi" w:cstheme="minorBidi"/>
          <w:color w:val="auto"/>
        </w:rPr>
      </w:pPr>
      <w:r>
        <w:rPr>
          <w:rFonts w:hint="eastAsia" w:ascii="仿宋_GB2312" w:eastAsia="仿宋_GB2312" w:hAnsiTheme="minorHAnsi" w:cstheme="minorBidi"/>
          <w:color w:val="auto"/>
        </w:rPr>
        <w:t>（6）对部分医嘱，支持自定义执行流程，如只扫描条码不扫描腕带。</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27175129"/>
      <w:docPartObj>
        <w:docPartGallery w:val="autotext"/>
      </w:docPartObj>
    </w:sdtPr>
    <w:sdtContent>
      <w:p>
        <w:pPr>
          <w:pStyle w:val="6"/>
          <w:jc w:val="right"/>
        </w:pPr>
        <w:r>
          <w:fldChar w:fldCharType="begin"/>
        </w:r>
        <w:r>
          <w:instrText xml:space="preserve">PAGE   \* MERGEFORMAT</w:instrText>
        </w:r>
        <w:r>
          <w:fldChar w:fldCharType="separate"/>
        </w:r>
        <w:r>
          <w:rPr>
            <w:lang w:val="zh-CN"/>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UxZWJmZDhjMmE0OTBkNDJiNDEyOGI1OWE4MzBiMGUifQ=="/>
  </w:docVars>
  <w:rsids>
    <w:rsidRoot w:val="008041DA"/>
    <w:rsid w:val="00003AAE"/>
    <w:rsid w:val="000126B3"/>
    <w:rsid w:val="00020412"/>
    <w:rsid w:val="0002672A"/>
    <w:rsid w:val="00036155"/>
    <w:rsid w:val="00044437"/>
    <w:rsid w:val="000551EF"/>
    <w:rsid w:val="00060E92"/>
    <w:rsid w:val="000A3C45"/>
    <w:rsid w:val="0013737D"/>
    <w:rsid w:val="00141C71"/>
    <w:rsid w:val="00143074"/>
    <w:rsid w:val="001449E4"/>
    <w:rsid w:val="001B2BAB"/>
    <w:rsid w:val="001B5336"/>
    <w:rsid w:val="001E07D9"/>
    <w:rsid w:val="00222897"/>
    <w:rsid w:val="00225233"/>
    <w:rsid w:val="0023328E"/>
    <w:rsid w:val="00233F11"/>
    <w:rsid w:val="00246EEF"/>
    <w:rsid w:val="00255540"/>
    <w:rsid w:val="00266BF2"/>
    <w:rsid w:val="00273C3F"/>
    <w:rsid w:val="002751AD"/>
    <w:rsid w:val="002754F1"/>
    <w:rsid w:val="00280162"/>
    <w:rsid w:val="00283B16"/>
    <w:rsid w:val="002846BB"/>
    <w:rsid w:val="002944A0"/>
    <w:rsid w:val="002B6F83"/>
    <w:rsid w:val="002B6FD0"/>
    <w:rsid w:val="002D475C"/>
    <w:rsid w:val="0030154E"/>
    <w:rsid w:val="00303EC9"/>
    <w:rsid w:val="00305F50"/>
    <w:rsid w:val="00323BD4"/>
    <w:rsid w:val="00334D83"/>
    <w:rsid w:val="003447A4"/>
    <w:rsid w:val="003914DF"/>
    <w:rsid w:val="003B1477"/>
    <w:rsid w:val="003F465A"/>
    <w:rsid w:val="00405156"/>
    <w:rsid w:val="00416D1D"/>
    <w:rsid w:val="00434B50"/>
    <w:rsid w:val="004355AB"/>
    <w:rsid w:val="00463DC1"/>
    <w:rsid w:val="004900FE"/>
    <w:rsid w:val="004A2DC8"/>
    <w:rsid w:val="004A3C04"/>
    <w:rsid w:val="004C1482"/>
    <w:rsid w:val="004D6BCF"/>
    <w:rsid w:val="00510010"/>
    <w:rsid w:val="00514072"/>
    <w:rsid w:val="00517B5F"/>
    <w:rsid w:val="00542E89"/>
    <w:rsid w:val="005A3DE5"/>
    <w:rsid w:val="005B1D59"/>
    <w:rsid w:val="005C2753"/>
    <w:rsid w:val="00654642"/>
    <w:rsid w:val="0068258E"/>
    <w:rsid w:val="00687F0E"/>
    <w:rsid w:val="006C185C"/>
    <w:rsid w:val="006C1A99"/>
    <w:rsid w:val="006D0C04"/>
    <w:rsid w:val="00712F10"/>
    <w:rsid w:val="0073717C"/>
    <w:rsid w:val="00746B42"/>
    <w:rsid w:val="00755DB0"/>
    <w:rsid w:val="0076050C"/>
    <w:rsid w:val="0078091D"/>
    <w:rsid w:val="00780C38"/>
    <w:rsid w:val="007851B5"/>
    <w:rsid w:val="007968B8"/>
    <w:rsid w:val="007D68FC"/>
    <w:rsid w:val="00801972"/>
    <w:rsid w:val="008041DA"/>
    <w:rsid w:val="00815F9F"/>
    <w:rsid w:val="008221E7"/>
    <w:rsid w:val="00892DB8"/>
    <w:rsid w:val="00897E35"/>
    <w:rsid w:val="008B0466"/>
    <w:rsid w:val="008B129A"/>
    <w:rsid w:val="008B6A9F"/>
    <w:rsid w:val="008D2983"/>
    <w:rsid w:val="008D2D7D"/>
    <w:rsid w:val="008E1780"/>
    <w:rsid w:val="008E25F3"/>
    <w:rsid w:val="008F6A3F"/>
    <w:rsid w:val="00915462"/>
    <w:rsid w:val="00921210"/>
    <w:rsid w:val="00924BF3"/>
    <w:rsid w:val="00965FBB"/>
    <w:rsid w:val="00982203"/>
    <w:rsid w:val="0098607F"/>
    <w:rsid w:val="0099553C"/>
    <w:rsid w:val="00997FF3"/>
    <w:rsid w:val="009A7DD5"/>
    <w:rsid w:val="009D5C84"/>
    <w:rsid w:val="009F5BF7"/>
    <w:rsid w:val="00A20B95"/>
    <w:rsid w:val="00A350F3"/>
    <w:rsid w:val="00A407FA"/>
    <w:rsid w:val="00A53D66"/>
    <w:rsid w:val="00A71159"/>
    <w:rsid w:val="00A72FE1"/>
    <w:rsid w:val="00A979A6"/>
    <w:rsid w:val="00AA7CF1"/>
    <w:rsid w:val="00AD4235"/>
    <w:rsid w:val="00AF636A"/>
    <w:rsid w:val="00B54C72"/>
    <w:rsid w:val="00B70CF5"/>
    <w:rsid w:val="00B7480F"/>
    <w:rsid w:val="00BB2C07"/>
    <w:rsid w:val="00BB61C6"/>
    <w:rsid w:val="00BB7701"/>
    <w:rsid w:val="00C42977"/>
    <w:rsid w:val="00C943FC"/>
    <w:rsid w:val="00CF139C"/>
    <w:rsid w:val="00D23847"/>
    <w:rsid w:val="00D30A4A"/>
    <w:rsid w:val="00D476E4"/>
    <w:rsid w:val="00D52F0F"/>
    <w:rsid w:val="00DA1E96"/>
    <w:rsid w:val="00DA25A6"/>
    <w:rsid w:val="00DA761B"/>
    <w:rsid w:val="00DB29CC"/>
    <w:rsid w:val="00DB6E0C"/>
    <w:rsid w:val="00DC65DF"/>
    <w:rsid w:val="00DE7B76"/>
    <w:rsid w:val="00DF02BB"/>
    <w:rsid w:val="00E06B24"/>
    <w:rsid w:val="00E10A88"/>
    <w:rsid w:val="00E1499D"/>
    <w:rsid w:val="00E15EE8"/>
    <w:rsid w:val="00E26682"/>
    <w:rsid w:val="00E52E4D"/>
    <w:rsid w:val="00E815D0"/>
    <w:rsid w:val="00E97BB0"/>
    <w:rsid w:val="00E97D62"/>
    <w:rsid w:val="00EA1EAC"/>
    <w:rsid w:val="00EC76F6"/>
    <w:rsid w:val="00ED228D"/>
    <w:rsid w:val="00EF2877"/>
    <w:rsid w:val="00EF2FB7"/>
    <w:rsid w:val="00EF77E2"/>
    <w:rsid w:val="00F3624E"/>
    <w:rsid w:val="00F56FD9"/>
    <w:rsid w:val="00F63943"/>
    <w:rsid w:val="00F649E0"/>
    <w:rsid w:val="00F84EA0"/>
    <w:rsid w:val="00FA131A"/>
    <w:rsid w:val="00FF2B1E"/>
    <w:rsid w:val="01920872"/>
    <w:rsid w:val="0476535D"/>
    <w:rsid w:val="1D6E4E51"/>
    <w:rsid w:val="1E755278"/>
    <w:rsid w:val="2F6C6330"/>
    <w:rsid w:val="2FDB01E9"/>
    <w:rsid w:val="352F6600"/>
    <w:rsid w:val="3F1E79F3"/>
    <w:rsid w:val="3F300E51"/>
    <w:rsid w:val="5ADE20C4"/>
    <w:rsid w:val="5CB227FA"/>
    <w:rsid w:val="60F96825"/>
    <w:rsid w:val="72701F85"/>
    <w:rsid w:val="7A8D342F"/>
    <w:rsid w:val="7B5834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宋体" w:eastAsia="宋体" w:cs="Times New Roman"/>
      <w:kern w:val="2"/>
      <w:sz w:val="21"/>
      <w:szCs w:val="21"/>
      <w:lang w:val="en-US" w:eastAsia="zh-CN" w:bidi="ar-SA"/>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2"/>
    <w:semiHidden/>
    <w:unhideWhenUsed/>
    <w:qFormat/>
    <w:uiPriority w:val="99"/>
    <w:pPr>
      <w:jc w:val="left"/>
    </w:pPr>
  </w:style>
  <w:style w:type="paragraph" w:styleId="3">
    <w:name w:val="Body Text"/>
    <w:basedOn w:val="1"/>
    <w:next w:val="4"/>
    <w:link w:val="16"/>
    <w:qFormat/>
    <w:uiPriority w:val="0"/>
    <w:pPr>
      <w:widowControl w:val="0"/>
      <w:spacing w:after="120" w:line="240" w:lineRule="auto"/>
    </w:pPr>
    <w:rPr>
      <w:rFonts w:asciiTheme="minorHAnsi" w:hAnsiTheme="minorHAnsi" w:eastAsiaTheme="minorEastAsia" w:cstheme="minorBidi"/>
      <w:kern w:val="0"/>
      <w:szCs w:val="24"/>
    </w:rPr>
  </w:style>
  <w:style w:type="paragraph" w:styleId="4">
    <w:name w:val="Body Text 2"/>
    <w:basedOn w:val="1"/>
    <w:link w:val="17"/>
    <w:qFormat/>
    <w:uiPriority w:val="0"/>
    <w:pPr>
      <w:widowControl w:val="0"/>
      <w:spacing w:line="240" w:lineRule="auto"/>
      <w:jc w:val="center"/>
    </w:pPr>
    <w:rPr>
      <w:rFonts w:asciiTheme="minorHAnsi" w:hAnsiTheme="minorHAnsi" w:eastAsiaTheme="minorEastAsia" w:cstheme="minorBidi"/>
      <w:kern w:val="0"/>
      <w:szCs w:val="24"/>
    </w:rPr>
  </w:style>
  <w:style w:type="paragraph" w:styleId="5">
    <w:name w:val="Balloon Text"/>
    <w:basedOn w:val="1"/>
    <w:link w:val="24"/>
    <w:semiHidden/>
    <w:unhideWhenUsed/>
    <w:qFormat/>
    <w:uiPriority w:val="99"/>
    <w:pPr>
      <w:spacing w:line="240" w:lineRule="auto"/>
    </w:pPr>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Subtitle"/>
    <w:basedOn w:val="1"/>
    <w:next w:val="1"/>
    <w:link w:val="18"/>
    <w:qFormat/>
    <w:uiPriority w:val="11"/>
    <w:pPr>
      <w:spacing w:before="240" w:after="60" w:line="312" w:lineRule="auto"/>
      <w:jc w:val="left"/>
      <w:outlineLvl w:val="1"/>
    </w:pPr>
    <w:rPr>
      <w:rFonts w:asciiTheme="minorHAnsi" w:hAnsiTheme="minorHAnsi"/>
      <w:b/>
      <w:bCs/>
      <w:kern w:val="28"/>
      <w:sz w:val="24"/>
      <w:szCs w:val="32"/>
    </w:rPr>
  </w:style>
  <w:style w:type="paragraph" w:styleId="9">
    <w:name w:val="Normal (Web)"/>
    <w:basedOn w:val="1"/>
    <w:semiHidden/>
    <w:unhideWhenUsed/>
    <w:qFormat/>
    <w:uiPriority w:val="99"/>
    <w:pPr>
      <w:spacing w:beforeAutospacing="1" w:afterAutospacing="1"/>
      <w:jc w:val="left"/>
    </w:pPr>
    <w:rPr>
      <w:kern w:val="0"/>
      <w:sz w:val="24"/>
    </w:rPr>
  </w:style>
  <w:style w:type="paragraph" w:styleId="10">
    <w:name w:val="annotation subject"/>
    <w:basedOn w:val="2"/>
    <w:next w:val="2"/>
    <w:link w:val="23"/>
    <w:semiHidden/>
    <w:unhideWhenUsed/>
    <w:qFormat/>
    <w:uiPriority w:val="99"/>
    <w:rPr>
      <w:b/>
      <w:bCs/>
    </w:rPr>
  </w:style>
  <w:style w:type="character" w:styleId="13">
    <w:name w:val="annotation reference"/>
    <w:basedOn w:val="12"/>
    <w:semiHidden/>
    <w:unhideWhenUsed/>
    <w:qFormat/>
    <w:uiPriority w:val="99"/>
    <w:rPr>
      <w:sz w:val="21"/>
      <w:szCs w:val="21"/>
    </w:rPr>
  </w:style>
  <w:style w:type="character" w:customStyle="1" w:styleId="14">
    <w:name w:val="页眉 Char"/>
    <w:basedOn w:val="12"/>
    <w:link w:val="7"/>
    <w:qFormat/>
    <w:uiPriority w:val="99"/>
    <w:rPr>
      <w:sz w:val="18"/>
      <w:szCs w:val="18"/>
    </w:rPr>
  </w:style>
  <w:style w:type="character" w:customStyle="1" w:styleId="15">
    <w:name w:val="页脚 Char"/>
    <w:basedOn w:val="12"/>
    <w:link w:val="6"/>
    <w:qFormat/>
    <w:uiPriority w:val="99"/>
    <w:rPr>
      <w:sz w:val="18"/>
      <w:szCs w:val="18"/>
    </w:rPr>
  </w:style>
  <w:style w:type="character" w:customStyle="1" w:styleId="16">
    <w:name w:val="正文文本 Char"/>
    <w:basedOn w:val="12"/>
    <w:link w:val="3"/>
    <w:qFormat/>
    <w:uiPriority w:val="0"/>
    <w:rPr>
      <w:kern w:val="0"/>
      <w:szCs w:val="24"/>
    </w:rPr>
  </w:style>
  <w:style w:type="character" w:customStyle="1" w:styleId="17">
    <w:name w:val="正文文本 2 Char"/>
    <w:basedOn w:val="12"/>
    <w:link w:val="4"/>
    <w:qFormat/>
    <w:uiPriority w:val="0"/>
    <w:rPr>
      <w:kern w:val="0"/>
      <w:szCs w:val="24"/>
    </w:rPr>
  </w:style>
  <w:style w:type="character" w:customStyle="1" w:styleId="18">
    <w:name w:val="副标题 Char"/>
    <w:basedOn w:val="12"/>
    <w:link w:val="8"/>
    <w:qFormat/>
    <w:uiPriority w:val="11"/>
    <w:rPr>
      <w:rFonts w:eastAsia="宋体" w:cs="Times New Roman"/>
      <w:b/>
      <w:bCs/>
      <w:kern w:val="28"/>
      <w:sz w:val="24"/>
      <w:szCs w:val="32"/>
    </w:rPr>
  </w:style>
  <w:style w:type="paragraph" w:styleId="19">
    <w:name w:val="List Paragraph"/>
    <w:basedOn w:val="1"/>
    <w:qFormat/>
    <w:uiPriority w:val="34"/>
    <w:pPr>
      <w:ind w:firstLine="420" w:firstLineChars="200"/>
    </w:pPr>
  </w:style>
  <w:style w:type="character" w:customStyle="1" w:styleId="20">
    <w:name w:val="列表段落 字符"/>
    <w:link w:val="21"/>
    <w:qFormat/>
    <w:locked/>
    <w:uiPriority w:val="34"/>
    <w:rPr>
      <w:rFonts w:ascii="等线" w:hAnsi="等线" w:eastAsia="等线"/>
    </w:rPr>
  </w:style>
  <w:style w:type="paragraph" w:customStyle="1" w:styleId="21">
    <w:name w:val="列表段落1"/>
    <w:basedOn w:val="1"/>
    <w:link w:val="20"/>
    <w:qFormat/>
    <w:uiPriority w:val="34"/>
    <w:pPr>
      <w:widowControl w:val="0"/>
      <w:spacing w:line="240" w:lineRule="auto"/>
      <w:ind w:firstLine="420" w:firstLineChars="200"/>
    </w:pPr>
    <w:rPr>
      <w:rFonts w:ascii="等线" w:hAnsi="等线" w:eastAsia="等线" w:cstheme="minorBidi"/>
      <w:szCs w:val="22"/>
    </w:rPr>
  </w:style>
  <w:style w:type="character" w:customStyle="1" w:styleId="22">
    <w:name w:val="批注文字 Char"/>
    <w:basedOn w:val="12"/>
    <w:link w:val="2"/>
    <w:semiHidden/>
    <w:qFormat/>
    <w:uiPriority w:val="99"/>
    <w:rPr>
      <w:rFonts w:ascii="宋体" w:hAnsi="宋体" w:eastAsia="宋体" w:cs="Times New Roman"/>
      <w:kern w:val="2"/>
      <w:sz w:val="21"/>
      <w:szCs w:val="21"/>
    </w:rPr>
  </w:style>
  <w:style w:type="character" w:customStyle="1" w:styleId="23">
    <w:name w:val="批注主题 Char"/>
    <w:basedOn w:val="22"/>
    <w:link w:val="10"/>
    <w:semiHidden/>
    <w:qFormat/>
    <w:uiPriority w:val="99"/>
    <w:rPr>
      <w:rFonts w:ascii="宋体" w:hAnsi="宋体" w:eastAsia="宋体" w:cs="Times New Roman"/>
      <w:b/>
      <w:bCs/>
      <w:kern w:val="2"/>
      <w:sz w:val="21"/>
      <w:szCs w:val="21"/>
    </w:rPr>
  </w:style>
  <w:style w:type="character" w:customStyle="1" w:styleId="24">
    <w:name w:val="批注框文本 Char"/>
    <w:basedOn w:val="12"/>
    <w:link w:val="5"/>
    <w:semiHidden/>
    <w:qFormat/>
    <w:uiPriority w:val="99"/>
    <w:rPr>
      <w:rFonts w:ascii="宋体" w:hAnsi="宋体"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558</Words>
  <Characters>3184</Characters>
  <Lines>26</Lines>
  <Paragraphs>7</Paragraphs>
  <TotalTime>5</TotalTime>
  <ScaleCrop>false</ScaleCrop>
  <LinksUpToDate>false</LinksUpToDate>
  <CharactersWithSpaces>3735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2024-07-02T09:47:00Z</dcterms:created>
  <dc:creator>user</dc:creator>
  <cp:lastModifiedBy>user</cp:lastModifiedBy>
  <cp:lastPrinted>2024-07-18T02:56:00Z</cp:lastPrinted>
  <dcterms:modified xsi:type="dcterms:W3CDTF">2025-04-28T12:29:54Z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B0602450E39447E7A7AA06E16EABC6DB_12</vt:lpwstr>
  </property>
</Properties>
</file>